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rPr>
          <w:rFonts w:ascii="宋体" w:hAnsi="宋体"/>
          <w:b/>
          <w:sz w:val="24"/>
          <w:szCs w:val="24"/>
        </w:rPr>
      </w:pPr>
    </w:p>
    <w:p w14:paraId="13B98A7A">
      <w:pPr>
        <w:ind w:firstLine="2397" w:firstLineChars="199"/>
        <w:rPr>
          <w:b/>
          <w:sz w:val="120"/>
          <w:szCs w:val="120"/>
        </w:rPr>
      </w:pPr>
      <w:r>
        <w:rPr>
          <w:rFonts w:hint="eastAsia"/>
          <w:b/>
          <w:sz w:val="120"/>
          <w:szCs w:val="120"/>
        </w:rPr>
        <w:t>采购文件</w:t>
      </w:r>
    </w:p>
    <w:p w14:paraId="761E991F">
      <w:pPr>
        <w:rPr>
          <w:szCs w:val="22"/>
        </w:rPr>
      </w:pPr>
    </w:p>
    <w:p w14:paraId="2941D152">
      <w:pPr>
        <w:jc w:val="center"/>
        <w:rPr>
          <w:b/>
          <w:sz w:val="52"/>
          <w:szCs w:val="52"/>
        </w:rPr>
      </w:pPr>
      <w:r>
        <w:rPr>
          <w:rFonts w:hint="eastAsia"/>
          <w:b/>
          <w:sz w:val="52"/>
          <w:szCs w:val="52"/>
        </w:rPr>
        <w:t xml:space="preserve">   （服务类）</w:t>
      </w:r>
    </w:p>
    <w:p w14:paraId="5C4DA508">
      <w:pPr>
        <w:rPr>
          <w:szCs w:val="22"/>
        </w:rPr>
      </w:pPr>
    </w:p>
    <w:p w14:paraId="2579CCE9"/>
    <w:p w14:paraId="6FB616BE"/>
    <w:p w14:paraId="20982B48"/>
    <w:p w14:paraId="1C63F39E"/>
    <w:p w14:paraId="494FA8CB"/>
    <w:p w14:paraId="55EE8581"/>
    <w:p w14:paraId="7854FBD2"/>
    <w:p w14:paraId="3F1D81ED"/>
    <w:p w14:paraId="2CB05A5E"/>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ascii="宋体" w:hAnsi="宋体"/>
          <w:b/>
          <w:sz w:val="24"/>
          <w:szCs w:val="24"/>
        </w:rPr>
      </w:pPr>
    </w:p>
    <w:p w14:paraId="5F1F4AC5">
      <w:pPr>
        <w:rPr>
          <w:rFonts w:ascii="宋体" w:hAnsi="宋体"/>
          <w:b/>
          <w:sz w:val="24"/>
          <w:szCs w:val="24"/>
        </w:rPr>
      </w:pPr>
    </w:p>
    <w:p w14:paraId="781B06EA">
      <w:pPr>
        <w:snapToGrid w:val="0"/>
        <w:ind w:right="-315" w:rightChars="-150" w:firstLine="420" w:firstLineChars="200"/>
        <w:rPr>
          <w:rFonts w:ascii="宋体" w:hAnsi="宋体"/>
          <w:color w:val="000000"/>
          <w:szCs w:val="21"/>
        </w:rPr>
      </w:pPr>
    </w:p>
    <w:p w14:paraId="647F624B">
      <w:pPr>
        <w:snapToGrid w:val="0"/>
        <w:ind w:right="-315" w:rightChars="-150" w:firstLine="420" w:firstLineChars="200"/>
        <w:rPr>
          <w:rFonts w:ascii="宋体" w:hAnsi="宋体"/>
          <w:color w:val="000000"/>
          <w:szCs w:val="21"/>
        </w:rPr>
      </w:pPr>
    </w:p>
    <w:p w14:paraId="669F4A7E">
      <w:pPr>
        <w:snapToGrid w:val="0"/>
        <w:ind w:right="-315" w:rightChars="-150" w:firstLine="420" w:firstLineChars="200"/>
        <w:rPr>
          <w:rFonts w:ascii="宋体" w:hAnsi="宋体"/>
          <w:color w:val="000000"/>
          <w:szCs w:val="21"/>
        </w:rPr>
      </w:pPr>
    </w:p>
    <w:p w14:paraId="2AFBD3A3">
      <w:pPr>
        <w:snapToGrid w:val="0"/>
        <w:ind w:right="-315" w:rightChars="-150" w:firstLine="420" w:firstLineChars="200"/>
        <w:rPr>
          <w:rFonts w:ascii="宋体" w:hAnsi="宋体"/>
          <w:color w:val="000000"/>
          <w:szCs w:val="21"/>
        </w:rPr>
      </w:pPr>
    </w:p>
    <w:p w14:paraId="3BA85EAB">
      <w:pPr>
        <w:snapToGrid w:val="0"/>
        <w:ind w:right="-315" w:rightChars="-150" w:firstLine="420" w:firstLineChars="200"/>
        <w:rPr>
          <w:rFonts w:ascii="宋体" w:hAnsi="宋体"/>
          <w:color w:val="000000"/>
          <w:szCs w:val="21"/>
        </w:rPr>
      </w:pPr>
    </w:p>
    <w:p w14:paraId="4010D11D">
      <w:pPr>
        <w:snapToGrid w:val="0"/>
        <w:ind w:right="-315" w:rightChars="-150" w:firstLine="420" w:firstLineChars="200"/>
        <w:rPr>
          <w:rFonts w:ascii="宋体" w:hAnsi="宋体"/>
          <w:color w:val="000000"/>
          <w:szCs w:val="21"/>
        </w:rPr>
      </w:pPr>
    </w:p>
    <w:p w14:paraId="1C8F0BAF">
      <w:pPr>
        <w:snapToGrid w:val="0"/>
        <w:ind w:right="-315" w:rightChars="-150" w:firstLine="420" w:firstLineChars="200"/>
        <w:rPr>
          <w:rFonts w:ascii="宋体" w:hAnsi="宋体"/>
          <w:color w:val="000000"/>
          <w:szCs w:val="21"/>
        </w:rPr>
      </w:pPr>
    </w:p>
    <w:p w14:paraId="5E45537D">
      <w:pPr>
        <w:snapToGrid w:val="0"/>
        <w:ind w:right="-315" w:rightChars="-150" w:firstLine="420" w:firstLineChars="200"/>
        <w:rPr>
          <w:rFonts w:ascii="宋体" w:hAnsi="宋体"/>
          <w:color w:val="000000"/>
          <w:szCs w:val="21"/>
        </w:rPr>
      </w:pPr>
    </w:p>
    <w:p w14:paraId="31CA1CF2">
      <w:pPr>
        <w:ind w:left="420"/>
        <w:rPr>
          <w:rFonts w:hint="eastAsia" w:ascii="宋体" w:hAnsi="宋体"/>
          <w:sz w:val="24"/>
          <w:szCs w:val="24"/>
        </w:rPr>
      </w:pPr>
      <w:r>
        <w:rPr>
          <w:rFonts w:hint="eastAsia" w:ascii="宋体" w:hAnsi="宋体" w:eastAsia="宋体"/>
          <w:sz w:val="24"/>
          <w:szCs w:val="24"/>
        </w:rPr>
        <w:t>价格分计算</w:t>
      </w:r>
      <w:r>
        <w:rPr>
          <w:rFonts w:hint="eastAsia" w:ascii="宋体" w:hAnsi="宋体" w:eastAsia="宋体"/>
          <w:sz w:val="24"/>
          <w:szCs w:val="24"/>
          <w:lang w:eastAsia="zh-CN"/>
        </w:rPr>
        <w:t>（每个供应商可进行两次报价，以第二次报价为最终报价）</w:t>
      </w:r>
      <w:r>
        <w:rPr>
          <w:rFonts w:hint="eastAsia" w:ascii="宋体" w:hAnsi="宋体" w:eastAsia="宋体"/>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6F180F1F">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0683395A">
      <w:pPr>
        <w:spacing w:line="360" w:lineRule="auto"/>
        <w:ind w:firstLine="480" w:firstLineChars="200"/>
        <w:rPr>
          <w:rFonts w:ascii="宋体" w:hAnsi="宋体" w:eastAsia="宋体"/>
          <w:sz w:val="24"/>
          <w:szCs w:val="24"/>
        </w:rPr>
      </w:pPr>
      <w:r>
        <w:rPr>
          <w:rFonts w:hint="eastAsia" w:ascii="宋体" w:hAnsi="宋体"/>
          <w:sz w:val="24"/>
          <w:szCs w:val="24"/>
        </w:rPr>
        <w:t>备注：投标报价得分四舍五入后，小数点后保留两位有效数；</w:t>
      </w:r>
    </w:p>
    <w:p w14:paraId="70CF1DFA">
      <w:pPr>
        <w:widowControl/>
        <w:spacing w:line="450" w:lineRule="atLeast"/>
        <w:ind w:firstLine="480" w:firstLineChars="200"/>
        <w:jc w:val="left"/>
        <w:textAlignment w:val="baseline"/>
        <w:rPr>
          <w:rFonts w:ascii="宋体" w:hAnsi="宋体" w:eastAsia="宋体"/>
          <w:sz w:val="24"/>
          <w:szCs w:val="24"/>
        </w:rPr>
      </w:pPr>
      <w:r>
        <w:rPr>
          <w:rFonts w:hint="eastAsia" w:ascii="宋体" w:hAnsi="宋体"/>
          <w:sz w:val="24"/>
          <w:szCs w:val="24"/>
        </w:rPr>
        <w:t>评标基准价</w:t>
      </w:r>
      <w:r>
        <w:rPr>
          <w:rFonts w:hint="eastAsia" w:ascii="宋体" w:hAnsi="宋体" w:eastAsia="宋体"/>
          <w:sz w:val="24"/>
          <w:szCs w:val="24"/>
        </w:rPr>
        <w:t>是指所有有效报价中最低的投标报价</w:t>
      </w:r>
      <w:r>
        <w:rPr>
          <w:rFonts w:hint="eastAsia" w:ascii="宋体" w:hAnsi="宋体" w:eastAsia="宋体"/>
          <w:sz w:val="24"/>
          <w:szCs w:val="24"/>
          <w:lang w:val="en-US" w:eastAsia="zh-CN"/>
        </w:rPr>
        <w:t>(</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sz w:val="24"/>
          <w:szCs w:val="24"/>
          <w:lang w:eastAsia="zh-CN"/>
        </w:rPr>
        <w:t>）</w:t>
      </w:r>
      <w:r>
        <w:rPr>
          <w:rFonts w:hint="eastAsia" w:ascii="宋体" w:hAnsi="宋体" w:eastAsia="宋体"/>
          <w:sz w:val="24"/>
          <w:szCs w:val="24"/>
        </w:rPr>
        <w:t>。</w:t>
      </w:r>
    </w:p>
    <w:p w14:paraId="74E45903">
      <w:pPr>
        <w:spacing w:line="360" w:lineRule="auto"/>
        <w:ind w:firstLine="480" w:firstLineChars="200"/>
        <w:rPr>
          <w:rFonts w:ascii="宋体" w:hAnsi="宋体"/>
          <w:szCs w:val="21"/>
        </w:rPr>
      </w:pPr>
      <w:r>
        <w:rPr>
          <w:rFonts w:hint="eastAsia" w:ascii="宋体" w:hAnsi="宋体" w:eastAsia="宋体"/>
          <w:sz w:val="24"/>
          <w:szCs w:val="24"/>
        </w:rPr>
        <w:t>评审委员会在评标时，应按照以下量化的评审因素，对各投标文件进行分析和比较：</w:t>
      </w:r>
    </w:p>
    <w:tbl>
      <w:tblPr>
        <w:tblStyle w:val="18"/>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55"/>
        <w:gridCol w:w="475"/>
        <w:gridCol w:w="804"/>
        <w:gridCol w:w="4929"/>
      </w:tblGrid>
      <w:tr w14:paraId="135F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0" w:type="dxa"/>
            <w:gridSpan w:val="3"/>
            <w:tcBorders>
              <w:top w:val="single" w:color="auto" w:sz="4" w:space="0"/>
              <w:left w:val="single" w:color="auto" w:sz="4" w:space="0"/>
              <w:bottom w:val="single" w:color="auto" w:sz="4" w:space="0"/>
              <w:right w:val="single" w:color="auto" w:sz="4" w:space="0"/>
            </w:tcBorders>
          </w:tcPr>
          <w:p w14:paraId="1C29331B">
            <w:pPr>
              <w:jc w:val="center"/>
              <w:rPr>
                <w:rFonts w:ascii="宋体" w:hAnsi="宋体" w:cs="宋体"/>
                <w:b/>
                <w:sz w:val="22"/>
                <w:szCs w:val="22"/>
              </w:rPr>
            </w:pPr>
            <w:r>
              <w:rPr>
                <w:rFonts w:hint="eastAsia" w:ascii="宋体" w:hAnsi="宋体" w:cs="宋体"/>
                <w:b/>
                <w:sz w:val="22"/>
                <w:szCs w:val="22"/>
              </w:rPr>
              <w:t>评分项</w:t>
            </w:r>
          </w:p>
        </w:tc>
        <w:tc>
          <w:tcPr>
            <w:tcW w:w="5733" w:type="dxa"/>
            <w:gridSpan w:val="2"/>
            <w:tcBorders>
              <w:top w:val="single" w:color="auto" w:sz="4" w:space="0"/>
              <w:left w:val="single" w:color="auto" w:sz="4" w:space="0"/>
              <w:bottom w:val="single" w:color="auto" w:sz="4" w:space="0"/>
              <w:right w:val="single" w:color="auto" w:sz="4" w:space="0"/>
            </w:tcBorders>
          </w:tcPr>
          <w:p w14:paraId="0AB6197C">
            <w:pPr>
              <w:jc w:val="center"/>
              <w:rPr>
                <w:rFonts w:ascii="宋体" w:hAnsi="宋体" w:cs="宋体"/>
                <w:b/>
                <w:sz w:val="22"/>
                <w:szCs w:val="22"/>
              </w:rPr>
            </w:pPr>
            <w:r>
              <w:rPr>
                <w:rFonts w:hint="eastAsia" w:ascii="宋体" w:hAnsi="宋体" w:cs="宋体"/>
                <w:b/>
                <w:sz w:val="22"/>
                <w:szCs w:val="22"/>
              </w:rPr>
              <w:t>权重</w:t>
            </w:r>
          </w:p>
        </w:tc>
      </w:tr>
      <w:tr w14:paraId="7755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0" w:type="dxa"/>
            <w:gridSpan w:val="3"/>
            <w:tcBorders>
              <w:top w:val="single" w:color="auto" w:sz="4" w:space="0"/>
              <w:left w:val="single" w:color="auto" w:sz="4" w:space="0"/>
              <w:bottom w:val="single" w:color="auto" w:sz="4" w:space="0"/>
              <w:right w:val="single" w:color="auto" w:sz="4" w:space="0"/>
            </w:tcBorders>
          </w:tcPr>
          <w:p w14:paraId="191326AF">
            <w:pPr>
              <w:jc w:val="center"/>
              <w:rPr>
                <w:rFonts w:ascii="宋体" w:hAnsi="宋体" w:cs="宋体"/>
                <w:b/>
                <w:sz w:val="22"/>
                <w:szCs w:val="22"/>
              </w:rPr>
            </w:pPr>
            <w:r>
              <w:rPr>
                <w:rFonts w:hint="eastAsia" w:ascii="宋体" w:hAnsi="宋体" w:cs="宋体"/>
                <w:b/>
                <w:sz w:val="22"/>
                <w:szCs w:val="22"/>
              </w:rPr>
              <w:t>价格部分</w:t>
            </w:r>
          </w:p>
        </w:tc>
        <w:tc>
          <w:tcPr>
            <w:tcW w:w="5733" w:type="dxa"/>
            <w:gridSpan w:val="2"/>
            <w:tcBorders>
              <w:top w:val="single" w:color="auto" w:sz="4" w:space="0"/>
              <w:left w:val="single" w:color="auto" w:sz="4" w:space="0"/>
              <w:bottom w:val="single" w:color="auto" w:sz="4" w:space="0"/>
              <w:right w:val="single" w:color="auto" w:sz="4" w:space="0"/>
            </w:tcBorders>
          </w:tcPr>
          <w:p w14:paraId="0512DEA4">
            <w:pPr>
              <w:jc w:val="center"/>
              <w:rPr>
                <w:rFonts w:ascii="宋体" w:hAnsi="宋体" w:cs="宋体"/>
                <w:b/>
                <w:sz w:val="22"/>
                <w:szCs w:val="22"/>
              </w:rPr>
            </w:pPr>
            <w:r>
              <w:rPr>
                <w:rFonts w:hint="eastAsia" w:ascii="宋体" w:hAnsi="宋体" w:cs="宋体"/>
                <w:b/>
                <w:sz w:val="22"/>
                <w:szCs w:val="22"/>
              </w:rPr>
              <w:t>20</w:t>
            </w:r>
          </w:p>
        </w:tc>
      </w:tr>
      <w:tr w14:paraId="3C97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770" w:type="dxa"/>
            <w:gridSpan w:val="3"/>
            <w:tcBorders>
              <w:top w:val="single" w:color="auto" w:sz="4" w:space="0"/>
              <w:left w:val="single" w:color="auto" w:sz="4" w:space="0"/>
              <w:bottom w:val="single" w:color="auto" w:sz="4" w:space="0"/>
              <w:right w:val="single" w:color="auto" w:sz="4" w:space="0"/>
            </w:tcBorders>
          </w:tcPr>
          <w:p w14:paraId="38FF1404">
            <w:pPr>
              <w:jc w:val="center"/>
              <w:rPr>
                <w:rFonts w:ascii="宋体" w:hAnsi="宋体" w:cs="宋体"/>
                <w:b/>
                <w:sz w:val="22"/>
                <w:szCs w:val="22"/>
              </w:rPr>
            </w:pPr>
            <w:r>
              <w:rPr>
                <w:rFonts w:hint="eastAsia" w:ascii="宋体" w:hAnsi="宋体" w:cs="宋体"/>
                <w:b/>
                <w:sz w:val="22"/>
                <w:szCs w:val="22"/>
              </w:rPr>
              <w:t>技术部分</w:t>
            </w:r>
          </w:p>
        </w:tc>
        <w:tc>
          <w:tcPr>
            <w:tcW w:w="5733" w:type="dxa"/>
            <w:gridSpan w:val="2"/>
            <w:tcBorders>
              <w:top w:val="single" w:color="auto" w:sz="4" w:space="0"/>
              <w:left w:val="single" w:color="auto" w:sz="4" w:space="0"/>
              <w:bottom w:val="single" w:color="auto" w:sz="4" w:space="0"/>
              <w:right w:val="single" w:color="auto" w:sz="4" w:space="0"/>
            </w:tcBorders>
          </w:tcPr>
          <w:p w14:paraId="405D0BE6">
            <w:pPr>
              <w:jc w:val="center"/>
              <w:rPr>
                <w:rFonts w:ascii="宋体" w:hAnsi="宋体" w:cs="宋体"/>
                <w:b/>
                <w:sz w:val="22"/>
                <w:szCs w:val="22"/>
              </w:rPr>
            </w:pPr>
            <w:r>
              <w:rPr>
                <w:rFonts w:hint="eastAsia" w:ascii="宋体" w:hAnsi="宋体" w:cs="宋体"/>
                <w:b/>
                <w:sz w:val="22"/>
                <w:szCs w:val="22"/>
              </w:rPr>
              <w:t>70</w:t>
            </w:r>
          </w:p>
        </w:tc>
      </w:tr>
      <w:tr w14:paraId="684E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40" w:type="dxa"/>
            <w:tcBorders>
              <w:top w:val="single" w:color="auto" w:sz="4" w:space="0"/>
              <w:left w:val="single" w:color="auto" w:sz="4" w:space="0"/>
              <w:bottom w:val="single" w:color="auto" w:sz="4" w:space="0"/>
              <w:right w:val="single" w:color="auto" w:sz="4" w:space="0"/>
            </w:tcBorders>
          </w:tcPr>
          <w:p w14:paraId="6DF6AF41">
            <w:pPr>
              <w:jc w:val="center"/>
              <w:rPr>
                <w:rFonts w:ascii="宋体" w:hAnsi="宋体" w:cs="宋体"/>
                <w:sz w:val="22"/>
                <w:szCs w:val="22"/>
              </w:rPr>
            </w:pPr>
            <w:r>
              <w:rPr>
                <w:rFonts w:hint="eastAsia" w:ascii="宋体" w:hAnsi="宋体" w:cs="宋体"/>
                <w:sz w:val="22"/>
                <w:szCs w:val="22"/>
              </w:rPr>
              <w:t>序号</w:t>
            </w:r>
          </w:p>
        </w:tc>
        <w:tc>
          <w:tcPr>
            <w:tcW w:w="1555" w:type="dxa"/>
            <w:tcBorders>
              <w:top w:val="single" w:color="auto" w:sz="4" w:space="0"/>
              <w:left w:val="single" w:color="auto" w:sz="4" w:space="0"/>
              <w:bottom w:val="single" w:color="auto" w:sz="4" w:space="0"/>
              <w:right w:val="single" w:color="auto" w:sz="4" w:space="0"/>
            </w:tcBorders>
          </w:tcPr>
          <w:p w14:paraId="62F5EF33">
            <w:pPr>
              <w:jc w:val="center"/>
              <w:rPr>
                <w:rFonts w:ascii="宋体" w:hAnsi="宋体" w:cs="宋体"/>
                <w:sz w:val="22"/>
                <w:szCs w:val="22"/>
              </w:rPr>
            </w:pPr>
            <w:r>
              <w:rPr>
                <w:rFonts w:hint="eastAsia" w:ascii="宋体" w:hAnsi="宋体" w:cs="宋体"/>
                <w:sz w:val="22"/>
                <w:szCs w:val="22"/>
              </w:rPr>
              <w:t>评分因素</w:t>
            </w:r>
          </w:p>
        </w:tc>
        <w:tc>
          <w:tcPr>
            <w:tcW w:w="475" w:type="dxa"/>
            <w:tcBorders>
              <w:top w:val="single" w:color="auto" w:sz="4" w:space="0"/>
              <w:left w:val="single" w:color="auto" w:sz="4" w:space="0"/>
              <w:bottom w:val="single" w:color="auto" w:sz="4" w:space="0"/>
              <w:right w:val="single" w:color="auto" w:sz="4" w:space="0"/>
            </w:tcBorders>
          </w:tcPr>
          <w:p w14:paraId="7E741BDB">
            <w:pPr>
              <w:jc w:val="center"/>
              <w:rPr>
                <w:rFonts w:ascii="宋体" w:hAnsi="宋体" w:cs="宋体"/>
                <w:sz w:val="22"/>
                <w:szCs w:val="22"/>
              </w:rPr>
            </w:pPr>
            <w:r>
              <w:rPr>
                <w:rFonts w:hint="eastAsia" w:ascii="宋体" w:hAnsi="宋体" w:cs="宋体"/>
                <w:sz w:val="22"/>
                <w:szCs w:val="22"/>
              </w:rPr>
              <w:t>权重</w:t>
            </w:r>
          </w:p>
        </w:tc>
        <w:tc>
          <w:tcPr>
            <w:tcW w:w="804" w:type="dxa"/>
            <w:tcBorders>
              <w:top w:val="single" w:color="auto" w:sz="4" w:space="0"/>
              <w:left w:val="single" w:color="auto" w:sz="4" w:space="0"/>
              <w:bottom w:val="single" w:color="auto" w:sz="4" w:space="0"/>
              <w:right w:val="single" w:color="auto" w:sz="4" w:space="0"/>
            </w:tcBorders>
          </w:tcPr>
          <w:p w14:paraId="4270C10A">
            <w:pPr>
              <w:jc w:val="center"/>
              <w:rPr>
                <w:rFonts w:ascii="宋体" w:hAnsi="宋体" w:cs="宋体"/>
                <w:sz w:val="22"/>
                <w:szCs w:val="22"/>
              </w:rPr>
            </w:pPr>
            <w:r>
              <w:rPr>
                <w:rFonts w:hint="eastAsia" w:ascii="宋体" w:hAnsi="宋体" w:cs="宋体"/>
                <w:sz w:val="22"/>
                <w:szCs w:val="22"/>
              </w:rPr>
              <w:t>评分方式</w:t>
            </w:r>
          </w:p>
        </w:tc>
        <w:tc>
          <w:tcPr>
            <w:tcW w:w="4929" w:type="dxa"/>
            <w:tcBorders>
              <w:top w:val="single" w:color="auto" w:sz="4" w:space="0"/>
              <w:left w:val="single" w:color="auto" w:sz="4" w:space="0"/>
              <w:bottom w:val="single" w:color="auto" w:sz="4" w:space="0"/>
              <w:right w:val="single" w:color="auto" w:sz="4" w:space="0"/>
            </w:tcBorders>
          </w:tcPr>
          <w:p w14:paraId="705413DF">
            <w:pPr>
              <w:jc w:val="center"/>
              <w:rPr>
                <w:rFonts w:ascii="宋体" w:hAnsi="宋体" w:cs="宋体"/>
                <w:sz w:val="22"/>
                <w:szCs w:val="22"/>
              </w:rPr>
            </w:pPr>
            <w:r>
              <w:rPr>
                <w:rFonts w:hint="eastAsia" w:ascii="宋体" w:hAnsi="宋体" w:cs="宋体"/>
                <w:sz w:val="22"/>
                <w:szCs w:val="22"/>
              </w:rPr>
              <w:t>评分准则</w:t>
            </w:r>
          </w:p>
        </w:tc>
      </w:tr>
      <w:tr w14:paraId="57C7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149F380B">
            <w:pPr>
              <w:jc w:val="center"/>
              <w:rPr>
                <w:rFonts w:ascii="宋体" w:hAnsi="宋体" w:cs="宋体"/>
                <w:sz w:val="22"/>
                <w:szCs w:val="22"/>
              </w:rPr>
            </w:pPr>
            <w:r>
              <w:rPr>
                <w:rFonts w:hint="eastAsia" w:ascii="宋体" w:hAnsi="宋体" w:cs="宋体"/>
                <w:sz w:val="22"/>
                <w:szCs w:val="22"/>
              </w:rPr>
              <w:t>1</w:t>
            </w:r>
          </w:p>
        </w:tc>
        <w:tc>
          <w:tcPr>
            <w:tcW w:w="1555" w:type="dxa"/>
            <w:tcBorders>
              <w:top w:val="single" w:color="auto" w:sz="4" w:space="0"/>
              <w:left w:val="single" w:color="auto" w:sz="4" w:space="0"/>
              <w:bottom w:val="single" w:color="auto" w:sz="4" w:space="0"/>
              <w:right w:val="single" w:color="auto" w:sz="4" w:space="0"/>
            </w:tcBorders>
            <w:vAlign w:val="center"/>
          </w:tcPr>
          <w:p w14:paraId="6D8307DE">
            <w:pPr>
              <w:widowControl/>
              <w:jc w:val="center"/>
              <w:rPr>
                <w:rFonts w:ascii="宋体" w:hAnsi="宋体" w:cs="宋体"/>
                <w:sz w:val="22"/>
                <w:szCs w:val="22"/>
              </w:rPr>
            </w:pPr>
            <w:r>
              <w:rPr>
                <w:rFonts w:hint="eastAsia" w:ascii="宋体" w:hAnsi="宋体" w:cs="宋体"/>
                <w:sz w:val="22"/>
                <w:szCs w:val="22"/>
              </w:rPr>
              <w:t>项目实施方案</w:t>
            </w:r>
          </w:p>
        </w:tc>
        <w:tc>
          <w:tcPr>
            <w:tcW w:w="475" w:type="dxa"/>
            <w:tcBorders>
              <w:top w:val="single" w:color="auto" w:sz="4" w:space="0"/>
              <w:left w:val="single" w:color="auto" w:sz="4" w:space="0"/>
              <w:bottom w:val="single" w:color="auto" w:sz="4" w:space="0"/>
              <w:right w:val="single" w:color="auto" w:sz="4" w:space="0"/>
            </w:tcBorders>
            <w:vAlign w:val="center"/>
          </w:tcPr>
          <w:p w14:paraId="090C862E">
            <w:pPr>
              <w:widowControl/>
              <w:jc w:val="center"/>
              <w:rPr>
                <w:rFonts w:ascii="宋体" w:hAnsi="宋体" w:cs="宋体"/>
                <w:sz w:val="22"/>
                <w:szCs w:val="22"/>
              </w:rPr>
            </w:pPr>
            <w:r>
              <w:rPr>
                <w:rFonts w:hint="eastAsia" w:ascii="宋体" w:hAnsi="宋体" w:cs="宋体"/>
                <w:sz w:val="22"/>
                <w:szCs w:val="22"/>
              </w:rPr>
              <w:t>15</w:t>
            </w:r>
          </w:p>
        </w:tc>
        <w:tc>
          <w:tcPr>
            <w:tcW w:w="804" w:type="dxa"/>
            <w:tcBorders>
              <w:top w:val="single" w:color="auto" w:sz="4" w:space="0"/>
              <w:left w:val="single" w:color="auto" w:sz="4" w:space="0"/>
              <w:bottom w:val="single" w:color="auto" w:sz="4" w:space="0"/>
              <w:right w:val="single" w:color="auto" w:sz="4" w:space="0"/>
            </w:tcBorders>
            <w:vAlign w:val="center"/>
          </w:tcPr>
          <w:p w14:paraId="3658720D">
            <w:pPr>
              <w:jc w:val="center"/>
              <w:rPr>
                <w:rFonts w:ascii="宋体" w:hAnsi="宋体" w:cs="宋体"/>
                <w:sz w:val="22"/>
                <w:szCs w:val="22"/>
              </w:rPr>
            </w:pPr>
            <w:bookmarkStart w:id="0" w:name="OLE_LINK7"/>
            <w:r>
              <w:rPr>
                <w:rFonts w:hint="eastAsia" w:ascii="宋体" w:hAnsi="宋体" w:cs="宋体"/>
                <w:sz w:val="22"/>
                <w:szCs w:val="22"/>
              </w:rPr>
              <w:t>专家打分</w:t>
            </w:r>
            <w:bookmarkEnd w:id="0"/>
          </w:p>
        </w:tc>
        <w:tc>
          <w:tcPr>
            <w:tcW w:w="4929" w:type="dxa"/>
            <w:tcBorders>
              <w:top w:val="single" w:color="auto" w:sz="4" w:space="0"/>
              <w:left w:val="single" w:color="auto" w:sz="4" w:space="0"/>
              <w:bottom w:val="single" w:color="auto" w:sz="4" w:space="0"/>
              <w:right w:val="single" w:color="auto" w:sz="4" w:space="0"/>
            </w:tcBorders>
            <w:vAlign w:val="center"/>
          </w:tcPr>
          <w:p w14:paraId="1F9469B8">
            <w:pPr>
              <w:jc w:val="left"/>
              <w:rPr>
                <w:rFonts w:ascii="宋体" w:hAnsi="宋体" w:cs="宋体"/>
                <w:sz w:val="22"/>
                <w:szCs w:val="22"/>
              </w:rPr>
            </w:pPr>
            <w:r>
              <w:rPr>
                <w:rFonts w:hint="eastAsia" w:ascii="宋体" w:hAnsi="宋体" w:cs="宋体"/>
                <w:sz w:val="22"/>
                <w:szCs w:val="22"/>
              </w:rPr>
              <w:t>（一）评分内容：</w:t>
            </w:r>
          </w:p>
          <w:p w14:paraId="194B20BF">
            <w:pPr>
              <w:ind w:firstLine="440" w:firstLineChars="200"/>
              <w:jc w:val="left"/>
              <w:rPr>
                <w:rFonts w:ascii="宋体" w:hAnsi="宋体" w:cs="宋体"/>
                <w:sz w:val="22"/>
                <w:szCs w:val="22"/>
              </w:rPr>
            </w:pPr>
            <w:r>
              <w:rPr>
                <w:rFonts w:hint="eastAsia" w:ascii="宋体" w:hAnsi="宋体" w:cs="宋体"/>
                <w:sz w:val="22"/>
                <w:szCs w:val="22"/>
              </w:rPr>
              <w:t>考察投标人项目服务实施总体思路及实施方案，需包含：</w:t>
            </w:r>
          </w:p>
          <w:p w14:paraId="5ABABD18">
            <w:pPr>
              <w:jc w:val="left"/>
              <w:rPr>
                <w:rFonts w:ascii="宋体" w:hAnsi="宋体" w:cs="宋体"/>
                <w:sz w:val="22"/>
                <w:szCs w:val="22"/>
              </w:rPr>
            </w:pPr>
            <w:r>
              <w:rPr>
                <w:rFonts w:hint="eastAsia" w:ascii="宋体" w:hAnsi="宋体" w:cs="宋体"/>
                <w:sz w:val="22"/>
                <w:szCs w:val="22"/>
              </w:rPr>
              <w:t>1.项目运维服务内容；</w:t>
            </w:r>
          </w:p>
          <w:p w14:paraId="0E893084">
            <w:pPr>
              <w:jc w:val="left"/>
              <w:rPr>
                <w:rFonts w:ascii="宋体" w:hAnsi="宋体" w:cs="宋体"/>
                <w:sz w:val="22"/>
                <w:szCs w:val="22"/>
              </w:rPr>
            </w:pPr>
            <w:r>
              <w:rPr>
                <w:rFonts w:hint="eastAsia" w:ascii="宋体" w:hAnsi="宋体" w:cs="宋体"/>
                <w:sz w:val="22"/>
                <w:szCs w:val="22"/>
              </w:rPr>
              <w:t>2.项目设备维护清单；</w:t>
            </w:r>
          </w:p>
          <w:p w14:paraId="18ED7DC9">
            <w:pPr>
              <w:jc w:val="left"/>
              <w:rPr>
                <w:rFonts w:ascii="宋体" w:hAnsi="宋体" w:cs="宋体"/>
                <w:sz w:val="22"/>
                <w:szCs w:val="22"/>
              </w:rPr>
            </w:pPr>
            <w:r>
              <w:rPr>
                <w:rFonts w:hint="eastAsia" w:ascii="宋体" w:hAnsi="宋体" w:cs="宋体"/>
                <w:sz w:val="22"/>
                <w:szCs w:val="22"/>
              </w:rPr>
              <w:t>3.项目运维服务方案；</w:t>
            </w:r>
          </w:p>
          <w:p w14:paraId="5ABA82FF">
            <w:pPr>
              <w:jc w:val="left"/>
              <w:rPr>
                <w:rFonts w:ascii="宋体" w:hAnsi="宋体" w:cs="宋体"/>
                <w:sz w:val="22"/>
                <w:szCs w:val="22"/>
              </w:rPr>
            </w:pPr>
            <w:r>
              <w:rPr>
                <w:rFonts w:hint="eastAsia" w:ascii="宋体" w:hAnsi="宋体" w:cs="宋体"/>
                <w:sz w:val="22"/>
                <w:szCs w:val="22"/>
              </w:rPr>
              <w:t>（二）评分依据：</w:t>
            </w:r>
          </w:p>
          <w:p w14:paraId="5D670AD5">
            <w:pPr>
              <w:ind w:firstLine="440" w:firstLineChars="200"/>
              <w:jc w:val="left"/>
              <w:rPr>
                <w:rFonts w:ascii="宋体" w:hAnsi="宋体" w:cs="宋体"/>
                <w:sz w:val="22"/>
                <w:szCs w:val="22"/>
              </w:rPr>
            </w:pPr>
            <w:r>
              <w:rPr>
                <w:rFonts w:hint="eastAsia" w:ascii="宋体" w:hAnsi="宋体" w:cs="宋体"/>
                <w:sz w:val="22"/>
                <w:szCs w:val="22"/>
              </w:rPr>
              <w:t>考察项目实施方案，每提供以上任意一项得1分，全部提供的得3分，未提供不得分。</w:t>
            </w:r>
          </w:p>
          <w:p w14:paraId="5AA01C8A">
            <w:pPr>
              <w:ind w:firstLine="440" w:firstLineChars="200"/>
              <w:jc w:val="left"/>
              <w:rPr>
                <w:rFonts w:ascii="宋体" w:hAnsi="宋体" w:cs="宋体"/>
                <w:sz w:val="22"/>
                <w:szCs w:val="22"/>
              </w:rPr>
            </w:pPr>
            <w:r>
              <w:rPr>
                <w:rFonts w:hint="eastAsia" w:ascii="宋体" w:hAnsi="宋体" w:cs="宋体"/>
                <w:sz w:val="22"/>
                <w:szCs w:val="22"/>
              </w:rPr>
              <w:t>在此基础上，评审委员会根据各投标人的具体响应内容按照以下的评审因素指标进一步评审：</w:t>
            </w:r>
          </w:p>
          <w:p w14:paraId="2D54B34C">
            <w:pPr>
              <w:jc w:val="left"/>
              <w:rPr>
                <w:rFonts w:ascii="宋体" w:hAnsi="宋体" w:cs="宋体"/>
                <w:sz w:val="22"/>
                <w:szCs w:val="22"/>
              </w:rPr>
            </w:pPr>
            <w:r>
              <w:rPr>
                <w:rFonts w:hint="eastAsia" w:ascii="宋体" w:hAnsi="宋体" w:cs="宋体"/>
                <w:sz w:val="22"/>
                <w:szCs w:val="22"/>
              </w:rPr>
              <w:t>(1)项目实施方案内容科学性、合理性、针对性强，方案详细、具体的，得12分；</w:t>
            </w:r>
          </w:p>
          <w:p w14:paraId="28E216EC">
            <w:pPr>
              <w:jc w:val="left"/>
              <w:rPr>
                <w:rFonts w:ascii="宋体" w:hAnsi="宋体" w:cs="宋体"/>
                <w:sz w:val="22"/>
                <w:szCs w:val="22"/>
              </w:rPr>
            </w:pPr>
            <w:r>
              <w:rPr>
                <w:rFonts w:hint="eastAsia" w:ascii="宋体" w:hAnsi="宋体" w:cs="宋体"/>
                <w:sz w:val="22"/>
                <w:szCs w:val="22"/>
              </w:rPr>
              <w:t>(2)项目实施方案内容科学性、合理性、针对性较强，方案较详细、具体的，得8分；</w:t>
            </w:r>
          </w:p>
          <w:p w14:paraId="0D665DAA">
            <w:pPr>
              <w:jc w:val="left"/>
              <w:rPr>
                <w:rFonts w:ascii="宋体" w:hAnsi="宋体" w:cs="宋体"/>
                <w:sz w:val="22"/>
                <w:szCs w:val="22"/>
              </w:rPr>
            </w:pPr>
            <w:r>
              <w:rPr>
                <w:rFonts w:hint="eastAsia" w:ascii="宋体" w:hAnsi="宋体" w:cs="宋体"/>
                <w:sz w:val="22"/>
                <w:szCs w:val="22"/>
              </w:rPr>
              <w:t>(3)项目实施方案内容科学性、合理性、针对性一般，方案一般的，得加4分；</w:t>
            </w:r>
          </w:p>
          <w:p w14:paraId="6CB54C27">
            <w:pPr>
              <w:widowControl/>
              <w:jc w:val="left"/>
              <w:rPr>
                <w:rFonts w:ascii="宋体" w:hAnsi="宋体" w:cs="宋体"/>
                <w:sz w:val="22"/>
                <w:szCs w:val="22"/>
              </w:rPr>
            </w:pPr>
            <w:r>
              <w:rPr>
                <w:rFonts w:hint="eastAsia" w:ascii="宋体" w:hAnsi="宋体" w:cs="宋体"/>
                <w:sz w:val="22"/>
                <w:szCs w:val="22"/>
              </w:rPr>
              <w:t>(4)项目实施方案内容差或未提供或内容与评审因素无关的，不得分。</w:t>
            </w:r>
          </w:p>
        </w:tc>
      </w:tr>
      <w:tr w14:paraId="1198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17BC2B9C">
            <w:pPr>
              <w:jc w:val="center"/>
              <w:rPr>
                <w:rFonts w:ascii="宋体" w:hAnsi="宋体" w:cs="宋体"/>
                <w:sz w:val="22"/>
                <w:szCs w:val="22"/>
              </w:rPr>
            </w:pPr>
            <w:r>
              <w:rPr>
                <w:rFonts w:hint="eastAsia" w:ascii="宋体" w:hAnsi="宋体" w:cs="宋体"/>
                <w:sz w:val="22"/>
                <w:szCs w:val="22"/>
              </w:rPr>
              <w:t>2</w:t>
            </w:r>
          </w:p>
        </w:tc>
        <w:tc>
          <w:tcPr>
            <w:tcW w:w="1555" w:type="dxa"/>
            <w:tcBorders>
              <w:top w:val="single" w:color="auto" w:sz="4" w:space="0"/>
              <w:left w:val="single" w:color="auto" w:sz="4" w:space="0"/>
              <w:bottom w:val="single" w:color="auto" w:sz="4" w:space="0"/>
              <w:right w:val="single" w:color="auto" w:sz="4" w:space="0"/>
            </w:tcBorders>
            <w:vAlign w:val="center"/>
          </w:tcPr>
          <w:p w14:paraId="0666EBB9">
            <w:pPr>
              <w:widowControl/>
              <w:jc w:val="center"/>
              <w:rPr>
                <w:rFonts w:ascii="宋体" w:hAnsi="宋体" w:cs="宋体"/>
                <w:sz w:val="22"/>
                <w:szCs w:val="22"/>
                <w:lang w:bidi="ar"/>
              </w:rPr>
            </w:pPr>
            <w:r>
              <w:rPr>
                <w:rFonts w:hint="eastAsia" w:ascii="宋体" w:hAnsi="宋体" w:cs="宋体"/>
                <w:sz w:val="22"/>
                <w:szCs w:val="22"/>
                <w:lang w:bidi="ar"/>
              </w:rPr>
              <w:t>技术参数</w:t>
            </w:r>
          </w:p>
          <w:p w14:paraId="28E1D0BF">
            <w:pPr>
              <w:widowControl/>
              <w:jc w:val="center"/>
              <w:rPr>
                <w:rFonts w:ascii="宋体" w:hAnsi="宋体" w:cs="宋体"/>
                <w:sz w:val="22"/>
                <w:szCs w:val="22"/>
              </w:rPr>
            </w:pPr>
            <w:r>
              <w:rPr>
                <w:rFonts w:hint="eastAsia" w:ascii="宋体" w:hAnsi="宋体" w:cs="宋体"/>
                <w:sz w:val="22"/>
                <w:szCs w:val="22"/>
                <w:lang w:bidi="ar"/>
              </w:rPr>
              <w:t>响应情况</w:t>
            </w:r>
          </w:p>
        </w:tc>
        <w:tc>
          <w:tcPr>
            <w:tcW w:w="475" w:type="dxa"/>
            <w:tcBorders>
              <w:top w:val="single" w:color="auto" w:sz="4" w:space="0"/>
              <w:left w:val="single" w:color="auto" w:sz="4" w:space="0"/>
              <w:bottom w:val="single" w:color="auto" w:sz="4" w:space="0"/>
              <w:right w:val="single" w:color="auto" w:sz="4" w:space="0"/>
            </w:tcBorders>
            <w:vAlign w:val="center"/>
          </w:tcPr>
          <w:p w14:paraId="7A11F764">
            <w:pPr>
              <w:widowControl/>
              <w:jc w:val="center"/>
              <w:rPr>
                <w:rFonts w:ascii="宋体" w:hAnsi="宋体" w:cs="宋体"/>
                <w:sz w:val="22"/>
                <w:szCs w:val="22"/>
              </w:rPr>
            </w:pPr>
            <w:r>
              <w:rPr>
                <w:rFonts w:hint="eastAsia" w:ascii="宋体" w:hAnsi="宋体" w:cs="宋体"/>
                <w:sz w:val="22"/>
                <w:szCs w:val="22"/>
              </w:rPr>
              <w:t>30</w:t>
            </w:r>
          </w:p>
        </w:tc>
        <w:tc>
          <w:tcPr>
            <w:tcW w:w="804" w:type="dxa"/>
            <w:tcBorders>
              <w:top w:val="single" w:color="auto" w:sz="4" w:space="0"/>
              <w:left w:val="single" w:color="auto" w:sz="4" w:space="0"/>
              <w:bottom w:val="single" w:color="auto" w:sz="4" w:space="0"/>
              <w:right w:val="single" w:color="auto" w:sz="4" w:space="0"/>
            </w:tcBorders>
            <w:vAlign w:val="center"/>
          </w:tcPr>
          <w:p w14:paraId="1E4CA686">
            <w:pPr>
              <w:jc w:val="center"/>
              <w:rPr>
                <w:rFonts w:ascii="宋体" w:hAnsi="宋体" w:cs="宋体"/>
                <w:sz w:val="22"/>
                <w:szCs w:val="22"/>
              </w:rPr>
            </w:pPr>
            <w:r>
              <w:rPr>
                <w:rFonts w:hint="eastAsia" w:ascii="宋体" w:hAnsi="宋体" w:cs="宋体"/>
                <w:sz w:val="22"/>
                <w:szCs w:val="22"/>
              </w:rPr>
              <w:t>专家打分</w:t>
            </w:r>
          </w:p>
        </w:tc>
        <w:tc>
          <w:tcPr>
            <w:tcW w:w="4929" w:type="dxa"/>
            <w:tcBorders>
              <w:top w:val="single" w:color="auto" w:sz="4" w:space="0"/>
              <w:left w:val="single" w:color="auto" w:sz="4" w:space="0"/>
              <w:bottom w:val="single" w:color="auto" w:sz="4" w:space="0"/>
              <w:right w:val="single" w:color="auto" w:sz="4" w:space="0"/>
            </w:tcBorders>
            <w:vAlign w:val="center"/>
          </w:tcPr>
          <w:p w14:paraId="6A045FF3">
            <w:pPr>
              <w:spacing w:line="360" w:lineRule="auto"/>
              <w:textAlignment w:val="top"/>
              <w:rPr>
                <w:rFonts w:ascii="宋体" w:hAnsi="宋体" w:cs="宋体"/>
                <w:sz w:val="22"/>
                <w:szCs w:val="22"/>
                <w:lang w:bidi="ar"/>
              </w:rPr>
            </w:pPr>
            <w:r>
              <w:rPr>
                <w:rFonts w:hint="eastAsia" w:ascii="宋体" w:hAnsi="宋体" w:cs="宋体"/>
                <w:sz w:val="22"/>
                <w:szCs w:val="22"/>
                <w:lang w:bidi="ar"/>
              </w:rPr>
              <w:t>评分内容：</w:t>
            </w:r>
          </w:p>
          <w:p w14:paraId="44E1D2E1">
            <w:pPr>
              <w:spacing w:line="360" w:lineRule="auto"/>
              <w:ind w:firstLine="440" w:firstLineChars="200"/>
              <w:textAlignment w:val="top"/>
              <w:rPr>
                <w:rFonts w:ascii="宋体" w:hAnsi="宋体" w:cs="宋体"/>
                <w:sz w:val="22"/>
                <w:szCs w:val="22"/>
                <w:lang w:bidi="ar"/>
              </w:rPr>
            </w:pPr>
            <w:r>
              <w:rPr>
                <w:rFonts w:hint="eastAsia" w:ascii="宋体" w:hAnsi="宋体" w:cs="宋体"/>
                <w:sz w:val="22"/>
                <w:szCs w:val="22"/>
                <w:lang w:bidi="ar"/>
              </w:rPr>
              <w:t>投标人应如实填写《技术要求偏离表》，全部满足的得30分；其中▲参数为重要指标，每负偏离一项扣4分；其余指标每负偏离一项扣1分，扣完为止。</w:t>
            </w:r>
          </w:p>
          <w:p w14:paraId="2663E745">
            <w:pPr>
              <w:spacing w:line="360" w:lineRule="auto"/>
              <w:textAlignment w:val="top"/>
              <w:rPr>
                <w:rFonts w:ascii="宋体" w:hAnsi="宋体" w:cs="宋体"/>
                <w:sz w:val="22"/>
                <w:szCs w:val="22"/>
                <w:lang w:bidi="ar"/>
              </w:rPr>
            </w:pPr>
            <w:r>
              <w:rPr>
                <w:rFonts w:hint="eastAsia" w:ascii="宋体" w:hAnsi="宋体" w:cs="宋体"/>
                <w:sz w:val="22"/>
                <w:szCs w:val="22"/>
                <w:lang w:bidi="ar"/>
              </w:rPr>
              <w:t>评分依据：</w:t>
            </w:r>
          </w:p>
          <w:p w14:paraId="7D9D2B6E">
            <w:pPr>
              <w:ind w:firstLine="440" w:firstLineChars="200"/>
              <w:jc w:val="left"/>
              <w:rPr>
                <w:rFonts w:ascii="宋体" w:hAnsi="宋体" w:cs="宋体"/>
                <w:sz w:val="22"/>
                <w:szCs w:val="22"/>
              </w:rPr>
            </w:pPr>
            <w:r>
              <w:rPr>
                <w:rFonts w:hint="eastAsia" w:ascii="宋体" w:hAnsi="宋体" w:cs="宋体"/>
                <w:sz w:val="22"/>
                <w:szCs w:val="22"/>
                <w:lang w:bidi="ar"/>
              </w:rPr>
              <w:t>以投标文件《技术要求偏离表》为评分依据，按招标文件要求提供相应的证明材料扫描件，并注明证明材料在投标文件中的具体位置。未提供有效证明材料或提供的证明资料显示不符合招标文件要求、模糊不清无法判断或未显示是否满足招标文件参数的，该项技术指标按负偏离处理。</w:t>
            </w:r>
          </w:p>
        </w:tc>
      </w:tr>
      <w:tr w14:paraId="03F6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01FE8875">
            <w:pPr>
              <w:jc w:val="center"/>
              <w:rPr>
                <w:rFonts w:ascii="宋体" w:hAnsi="宋体" w:cs="宋体"/>
                <w:sz w:val="22"/>
                <w:szCs w:val="22"/>
              </w:rPr>
            </w:pPr>
            <w:r>
              <w:rPr>
                <w:rFonts w:hint="eastAsia" w:ascii="宋体" w:hAnsi="宋体" w:cs="宋体"/>
                <w:sz w:val="22"/>
                <w:szCs w:val="22"/>
              </w:rPr>
              <w:t>3</w:t>
            </w:r>
          </w:p>
        </w:tc>
        <w:tc>
          <w:tcPr>
            <w:tcW w:w="1555" w:type="dxa"/>
            <w:tcBorders>
              <w:top w:val="single" w:color="auto" w:sz="4" w:space="0"/>
              <w:left w:val="single" w:color="auto" w:sz="4" w:space="0"/>
              <w:bottom w:val="single" w:color="auto" w:sz="4" w:space="0"/>
              <w:right w:val="single" w:color="auto" w:sz="4" w:space="0"/>
            </w:tcBorders>
            <w:vAlign w:val="center"/>
          </w:tcPr>
          <w:p w14:paraId="41A71889">
            <w:pPr>
              <w:widowControl/>
              <w:spacing w:line="300" w:lineRule="atLeast"/>
              <w:jc w:val="center"/>
              <w:rPr>
                <w:rFonts w:ascii="宋体" w:hAnsi="宋体" w:cs="宋体"/>
                <w:sz w:val="22"/>
                <w:szCs w:val="22"/>
              </w:rPr>
            </w:pPr>
            <w:r>
              <w:rPr>
                <w:rFonts w:hint="eastAsia" w:ascii="宋体" w:hAnsi="宋体" w:cs="宋体"/>
                <w:sz w:val="22"/>
                <w:szCs w:val="22"/>
              </w:rPr>
              <w:t>项目重点难点分析、应对措施及相关的合理化建议</w:t>
            </w:r>
          </w:p>
        </w:tc>
        <w:tc>
          <w:tcPr>
            <w:tcW w:w="475" w:type="dxa"/>
            <w:tcBorders>
              <w:top w:val="single" w:color="auto" w:sz="4" w:space="0"/>
              <w:left w:val="single" w:color="auto" w:sz="4" w:space="0"/>
              <w:bottom w:val="single" w:color="auto" w:sz="4" w:space="0"/>
              <w:right w:val="single" w:color="auto" w:sz="4" w:space="0"/>
            </w:tcBorders>
            <w:vAlign w:val="center"/>
          </w:tcPr>
          <w:p w14:paraId="24C62FAF">
            <w:pPr>
              <w:widowControl/>
              <w:spacing w:line="300" w:lineRule="atLeast"/>
              <w:jc w:val="center"/>
              <w:rPr>
                <w:rFonts w:ascii="宋体" w:hAnsi="宋体" w:cs="宋体"/>
                <w:sz w:val="22"/>
                <w:szCs w:val="22"/>
              </w:rPr>
            </w:pPr>
            <w:r>
              <w:rPr>
                <w:rFonts w:hint="eastAsia" w:ascii="宋体" w:hAnsi="宋体" w:cs="宋体"/>
                <w:sz w:val="22"/>
                <w:szCs w:val="22"/>
              </w:rPr>
              <w:t>10</w:t>
            </w:r>
          </w:p>
        </w:tc>
        <w:tc>
          <w:tcPr>
            <w:tcW w:w="804" w:type="dxa"/>
            <w:tcBorders>
              <w:top w:val="single" w:color="auto" w:sz="4" w:space="0"/>
              <w:left w:val="single" w:color="auto" w:sz="4" w:space="0"/>
              <w:bottom w:val="single" w:color="auto" w:sz="4" w:space="0"/>
              <w:right w:val="single" w:color="auto" w:sz="4" w:space="0"/>
            </w:tcBorders>
            <w:vAlign w:val="center"/>
          </w:tcPr>
          <w:p w14:paraId="3940506C">
            <w:pPr>
              <w:jc w:val="center"/>
              <w:rPr>
                <w:rFonts w:ascii="宋体" w:hAnsi="宋体" w:cs="宋体"/>
                <w:sz w:val="22"/>
                <w:szCs w:val="22"/>
              </w:rPr>
            </w:pPr>
            <w:r>
              <w:rPr>
                <w:rFonts w:hint="eastAsia" w:ascii="宋体" w:hAnsi="宋体" w:cs="宋体"/>
                <w:sz w:val="22"/>
                <w:szCs w:val="22"/>
              </w:rPr>
              <w:t>专家打分</w:t>
            </w:r>
          </w:p>
        </w:tc>
        <w:tc>
          <w:tcPr>
            <w:tcW w:w="4929" w:type="dxa"/>
            <w:tcBorders>
              <w:top w:val="single" w:color="auto" w:sz="4" w:space="0"/>
              <w:left w:val="single" w:color="auto" w:sz="4" w:space="0"/>
              <w:bottom w:val="single" w:color="auto" w:sz="4" w:space="0"/>
              <w:right w:val="single" w:color="auto" w:sz="4" w:space="0"/>
            </w:tcBorders>
            <w:vAlign w:val="center"/>
          </w:tcPr>
          <w:p w14:paraId="63669A3D">
            <w:pPr>
              <w:jc w:val="left"/>
              <w:rPr>
                <w:rFonts w:ascii="宋体" w:hAnsi="宋体" w:cs="宋体"/>
                <w:sz w:val="22"/>
                <w:szCs w:val="22"/>
              </w:rPr>
            </w:pPr>
            <w:r>
              <w:rPr>
                <w:rFonts w:hint="eastAsia" w:ascii="宋体" w:hAnsi="宋体" w:cs="宋体"/>
                <w:sz w:val="22"/>
                <w:szCs w:val="22"/>
              </w:rPr>
              <w:t>（一）评审内容：</w:t>
            </w:r>
          </w:p>
          <w:p w14:paraId="66F1851B">
            <w:pPr>
              <w:ind w:firstLine="440" w:firstLineChars="200"/>
              <w:jc w:val="left"/>
              <w:rPr>
                <w:rFonts w:ascii="宋体" w:hAnsi="宋体" w:cs="宋体"/>
                <w:sz w:val="22"/>
                <w:szCs w:val="22"/>
              </w:rPr>
            </w:pPr>
            <w:r>
              <w:rPr>
                <w:rFonts w:hint="eastAsia" w:ascii="宋体" w:hAnsi="宋体" w:cs="宋体"/>
                <w:sz w:val="22"/>
                <w:szCs w:val="22"/>
              </w:rPr>
              <w:t>投标人须针对本项目需求提供项目重点难点分析、应对措施及相关的合理化建议，包括下述内容：</w:t>
            </w:r>
          </w:p>
          <w:p w14:paraId="1AAB8A3F">
            <w:pPr>
              <w:jc w:val="left"/>
              <w:rPr>
                <w:rFonts w:ascii="宋体" w:hAnsi="宋体" w:cs="宋体"/>
                <w:sz w:val="22"/>
                <w:szCs w:val="22"/>
              </w:rPr>
            </w:pPr>
            <w:r>
              <w:rPr>
                <w:rFonts w:hint="eastAsia" w:ascii="宋体" w:hAnsi="宋体" w:cs="宋体"/>
                <w:sz w:val="22"/>
                <w:szCs w:val="22"/>
              </w:rPr>
              <w:t>1. 项目实施的重点难点进行分析；</w:t>
            </w:r>
          </w:p>
          <w:p w14:paraId="22FFF091">
            <w:pPr>
              <w:jc w:val="left"/>
              <w:rPr>
                <w:rFonts w:ascii="宋体" w:hAnsi="宋体" w:cs="宋体"/>
                <w:sz w:val="22"/>
                <w:szCs w:val="22"/>
              </w:rPr>
            </w:pPr>
            <w:r>
              <w:rPr>
                <w:rFonts w:hint="eastAsia" w:ascii="宋体" w:hAnsi="宋体" w:cs="宋体"/>
                <w:sz w:val="22"/>
                <w:szCs w:val="22"/>
              </w:rPr>
              <w:t>2. 针对重点难点的应对措施、相关的合理化建议，提出系统解决方案；</w:t>
            </w:r>
          </w:p>
          <w:p w14:paraId="27F53594">
            <w:pPr>
              <w:jc w:val="left"/>
              <w:rPr>
                <w:rFonts w:ascii="宋体" w:hAnsi="宋体" w:cs="宋体"/>
                <w:sz w:val="22"/>
                <w:szCs w:val="22"/>
              </w:rPr>
            </w:pPr>
            <w:r>
              <w:rPr>
                <w:rFonts w:hint="eastAsia" w:ascii="宋体" w:hAnsi="宋体" w:cs="宋体"/>
                <w:sz w:val="22"/>
                <w:szCs w:val="22"/>
              </w:rPr>
              <w:t>（二）评分依据：</w:t>
            </w:r>
          </w:p>
          <w:p w14:paraId="44CF4238">
            <w:pPr>
              <w:ind w:firstLine="440" w:firstLineChars="200"/>
              <w:jc w:val="left"/>
              <w:rPr>
                <w:rFonts w:ascii="宋体" w:hAnsi="宋体" w:cs="宋体"/>
                <w:sz w:val="22"/>
                <w:szCs w:val="22"/>
              </w:rPr>
            </w:pPr>
            <w:r>
              <w:rPr>
                <w:rFonts w:hint="eastAsia" w:ascii="宋体" w:hAnsi="宋体" w:cs="宋体"/>
                <w:sz w:val="22"/>
                <w:szCs w:val="22"/>
              </w:rPr>
              <w:t>满足以上2项要求得2分，满足以上1项要求得1分，其他不得分。</w:t>
            </w:r>
          </w:p>
          <w:p w14:paraId="4FD2A240">
            <w:pPr>
              <w:ind w:firstLine="440" w:firstLineChars="200"/>
              <w:jc w:val="left"/>
              <w:rPr>
                <w:rFonts w:ascii="宋体" w:hAnsi="宋体" w:cs="宋体"/>
                <w:sz w:val="22"/>
                <w:szCs w:val="22"/>
              </w:rPr>
            </w:pPr>
            <w:r>
              <w:rPr>
                <w:rFonts w:hint="eastAsia" w:ascii="宋体" w:hAnsi="宋体" w:cs="宋体"/>
                <w:sz w:val="22"/>
                <w:szCs w:val="22"/>
              </w:rPr>
              <w:t>在此基础上，评审委员会根据各投标人的具体响应内容按照以下的评审因素指标进一步评审:</w:t>
            </w:r>
          </w:p>
          <w:p w14:paraId="440DDB46">
            <w:pPr>
              <w:jc w:val="left"/>
              <w:rPr>
                <w:rFonts w:ascii="宋体" w:hAnsi="宋体" w:cs="宋体"/>
                <w:sz w:val="22"/>
                <w:szCs w:val="22"/>
              </w:rPr>
            </w:pPr>
            <w:r>
              <w:rPr>
                <w:rFonts w:hint="eastAsia" w:ascii="宋体" w:hAnsi="宋体" w:cs="宋体"/>
                <w:sz w:val="22"/>
                <w:szCs w:val="22"/>
              </w:rPr>
              <w:t>（1）投标文件响应内容全面；</w:t>
            </w:r>
          </w:p>
          <w:p w14:paraId="4D1BDD56">
            <w:pPr>
              <w:jc w:val="left"/>
              <w:rPr>
                <w:rFonts w:ascii="宋体" w:hAnsi="宋体" w:cs="宋体"/>
                <w:sz w:val="22"/>
                <w:szCs w:val="22"/>
              </w:rPr>
            </w:pPr>
            <w:r>
              <w:rPr>
                <w:rFonts w:hint="eastAsia" w:ascii="宋体" w:hAnsi="宋体" w:cs="宋体"/>
                <w:sz w:val="22"/>
                <w:szCs w:val="22"/>
              </w:rPr>
              <w:t>（2）投标文件响应内容具体；</w:t>
            </w:r>
          </w:p>
          <w:p w14:paraId="2BA98A34">
            <w:pPr>
              <w:jc w:val="left"/>
              <w:rPr>
                <w:rFonts w:ascii="宋体" w:hAnsi="宋体" w:cs="宋体"/>
                <w:sz w:val="22"/>
                <w:szCs w:val="22"/>
              </w:rPr>
            </w:pPr>
            <w:r>
              <w:rPr>
                <w:rFonts w:hint="eastAsia" w:ascii="宋体" w:hAnsi="宋体" w:cs="宋体"/>
                <w:sz w:val="22"/>
                <w:szCs w:val="22"/>
              </w:rPr>
              <w:t>（3）投标文件响应内容针对性强；</w:t>
            </w:r>
          </w:p>
          <w:p w14:paraId="46135CF2">
            <w:pPr>
              <w:jc w:val="left"/>
              <w:rPr>
                <w:rFonts w:ascii="宋体" w:hAnsi="宋体" w:cs="宋体"/>
                <w:sz w:val="22"/>
                <w:szCs w:val="22"/>
              </w:rPr>
            </w:pPr>
            <w:r>
              <w:rPr>
                <w:rFonts w:hint="eastAsia" w:ascii="宋体" w:hAnsi="宋体" w:cs="宋体"/>
                <w:sz w:val="22"/>
                <w:szCs w:val="22"/>
              </w:rPr>
              <w:t>（4）投标文件响应内容科学合理；</w:t>
            </w:r>
          </w:p>
          <w:p w14:paraId="1174D4EE">
            <w:pPr>
              <w:jc w:val="left"/>
              <w:rPr>
                <w:rFonts w:ascii="宋体" w:hAnsi="宋体" w:cs="宋体"/>
                <w:sz w:val="22"/>
                <w:szCs w:val="22"/>
              </w:rPr>
            </w:pPr>
            <w:r>
              <w:rPr>
                <w:rFonts w:hint="eastAsia" w:ascii="宋体" w:hAnsi="宋体" w:cs="宋体"/>
                <w:sz w:val="22"/>
                <w:szCs w:val="22"/>
              </w:rPr>
              <w:t>（5）投标文件响应内容可操作性强。</w:t>
            </w:r>
          </w:p>
          <w:p w14:paraId="410EA5A4">
            <w:pPr>
              <w:jc w:val="left"/>
              <w:rPr>
                <w:rFonts w:ascii="宋体" w:hAnsi="宋体" w:cs="宋体"/>
                <w:sz w:val="22"/>
                <w:szCs w:val="22"/>
              </w:rPr>
            </w:pPr>
            <w:r>
              <w:rPr>
                <w:rFonts w:hint="eastAsia" w:ascii="宋体" w:hAnsi="宋体" w:cs="宋体"/>
                <w:sz w:val="22"/>
                <w:szCs w:val="22"/>
              </w:rPr>
              <w:t>满足以上五项要求的评价，得8分。</w:t>
            </w:r>
          </w:p>
          <w:p w14:paraId="4B11EDA7">
            <w:pPr>
              <w:jc w:val="left"/>
              <w:rPr>
                <w:rFonts w:ascii="宋体" w:hAnsi="宋体" w:cs="宋体"/>
                <w:sz w:val="22"/>
                <w:szCs w:val="22"/>
              </w:rPr>
            </w:pPr>
            <w:r>
              <w:rPr>
                <w:rFonts w:hint="eastAsia" w:ascii="宋体" w:hAnsi="宋体" w:cs="宋体"/>
                <w:sz w:val="22"/>
                <w:szCs w:val="22"/>
              </w:rPr>
              <w:t>满足以上四项要求的评价，得4分。</w:t>
            </w:r>
          </w:p>
          <w:p w14:paraId="2C4EA73E">
            <w:pPr>
              <w:jc w:val="left"/>
              <w:rPr>
                <w:rFonts w:ascii="宋体" w:hAnsi="宋体" w:cs="宋体"/>
                <w:sz w:val="22"/>
                <w:szCs w:val="22"/>
              </w:rPr>
            </w:pPr>
            <w:r>
              <w:rPr>
                <w:rFonts w:hint="eastAsia" w:ascii="宋体" w:hAnsi="宋体" w:cs="宋体"/>
                <w:sz w:val="22"/>
                <w:szCs w:val="22"/>
              </w:rPr>
              <w:t>满足以上三项要求的评价，得1分。</w:t>
            </w:r>
          </w:p>
          <w:p w14:paraId="67CC4613">
            <w:pPr>
              <w:widowControl/>
              <w:jc w:val="left"/>
              <w:rPr>
                <w:rFonts w:ascii="宋体" w:hAnsi="宋体" w:cs="宋体"/>
                <w:sz w:val="22"/>
                <w:szCs w:val="22"/>
              </w:rPr>
            </w:pPr>
            <w:r>
              <w:rPr>
                <w:rFonts w:hint="eastAsia" w:ascii="宋体" w:hAnsi="宋体" w:cs="宋体"/>
                <w:sz w:val="22"/>
                <w:szCs w:val="22"/>
              </w:rPr>
              <w:t>满足少于3项的，不得分。</w:t>
            </w:r>
          </w:p>
        </w:tc>
      </w:tr>
      <w:tr w14:paraId="6490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2DEE0F79">
            <w:pPr>
              <w:jc w:val="center"/>
              <w:rPr>
                <w:rFonts w:ascii="宋体" w:hAnsi="宋体" w:cs="宋体"/>
                <w:sz w:val="22"/>
                <w:szCs w:val="22"/>
              </w:rPr>
            </w:pPr>
            <w:r>
              <w:rPr>
                <w:rFonts w:hint="eastAsia" w:ascii="宋体" w:hAnsi="宋体" w:cs="宋体"/>
                <w:sz w:val="22"/>
                <w:szCs w:val="22"/>
              </w:rPr>
              <w:t>4</w:t>
            </w:r>
          </w:p>
        </w:tc>
        <w:tc>
          <w:tcPr>
            <w:tcW w:w="1555" w:type="dxa"/>
            <w:tcBorders>
              <w:top w:val="single" w:color="auto" w:sz="4" w:space="0"/>
              <w:left w:val="single" w:color="auto" w:sz="4" w:space="0"/>
              <w:bottom w:val="single" w:color="auto" w:sz="4" w:space="0"/>
              <w:right w:val="single" w:color="auto" w:sz="4" w:space="0"/>
            </w:tcBorders>
            <w:vAlign w:val="center"/>
          </w:tcPr>
          <w:p w14:paraId="3BA659AF">
            <w:pPr>
              <w:jc w:val="center"/>
              <w:rPr>
                <w:rFonts w:ascii="宋体" w:hAnsi="宋体" w:cs="宋体"/>
                <w:sz w:val="22"/>
                <w:szCs w:val="22"/>
              </w:rPr>
            </w:pPr>
            <w:r>
              <w:rPr>
                <w:rFonts w:hint="eastAsia" w:ascii="宋体" w:hAnsi="宋体" w:cs="宋体"/>
                <w:sz w:val="22"/>
                <w:szCs w:val="22"/>
              </w:rPr>
              <w:t>质量保障措施</w:t>
            </w:r>
          </w:p>
        </w:tc>
        <w:tc>
          <w:tcPr>
            <w:tcW w:w="475" w:type="dxa"/>
            <w:tcBorders>
              <w:top w:val="single" w:color="auto" w:sz="4" w:space="0"/>
              <w:left w:val="single" w:color="auto" w:sz="4" w:space="0"/>
              <w:bottom w:val="single" w:color="auto" w:sz="4" w:space="0"/>
              <w:right w:val="single" w:color="auto" w:sz="4" w:space="0"/>
            </w:tcBorders>
            <w:vAlign w:val="center"/>
          </w:tcPr>
          <w:p w14:paraId="717407BD">
            <w:pPr>
              <w:jc w:val="center"/>
              <w:rPr>
                <w:rFonts w:ascii="宋体" w:hAnsi="宋体" w:cs="宋体"/>
                <w:sz w:val="22"/>
                <w:szCs w:val="22"/>
              </w:rPr>
            </w:pPr>
            <w:r>
              <w:rPr>
                <w:rFonts w:hint="eastAsia" w:ascii="宋体" w:hAnsi="宋体" w:cs="宋体"/>
                <w:sz w:val="22"/>
                <w:szCs w:val="22"/>
              </w:rPr>
              <w:t>10</w:t>
            </w:r>
          </w:p>
        </w:tc>
        <w:tc>
          <w:tcPr>
            <w:tcW w:w="804" w:type="dxa"/>
            <w:tcBorders>
              <w:top w:val="single" w:color="auto" w:sz="4" w:space="0"/>
              <w:left w:val="single" w:color="auto" w:sz="4" w:space="0"/>
              <w:bottom w:val="single" w:color="auto" w:sz="4" w:space="0"/>
              <w:right w:val="single" w:color="auto" w:sz="4" w:space="0"/>
            </w:tcBorders>
            <w:vAlign w:val="center"/>
          </w:tcPr>
          <w:p w14:paraId="4C41BCB4">
            <w:pPr>
              <w:adjustRightInd w:val="0"/>
              <w:snapToGrid w:val="0"/>
              <w:jc w:val="center"/>
              <w:rPr>
                <w:rFonts w:ascii="宋体" w:hAnsi="宋体" w:cs="宋体"/>
                <w:sz w:val="22"/>
                <w:szCs w:val="22"/>
              </w:rPr>
            </w:pPr>
            <w:r>
              <w:rPr>
                <w:rFonts w:hint="eastAsia" w:ascii="宋体" w:hAnsi="宋体" w:cs="宋体"/>
                <w:sz w:val="22"/>
                <w:szCs w:val="22"/>
              </w:rPr>
              <w:t>专家打分</w:t>
            </w:r>
          </w:p>
        </w:tc>
        <w:tc>
          <w:tcPr>
            <w:tcW w:w="4929" w:type="dxa"/>
            <w:tcBorders>
              <w:top w:val="single" w:color="auto" w:sz="4" w:space="0"/>
              <w:left w:val="single" w:color="auto" w:sz="4" w:space="0"/>
              <w:bottom w:val="single" w:color="auto" w:sz="4" w:space="0"/>
              <w:right w:val="single" w:color="auto" w:sz="4" w:space="0"/>
            </w:tcBorders>
            <w:vAlign w:val="center"/>
          </w:tcPr>
          <w:p w14:paraId="552D2F1A">
            <w:pPr>
              <w:jc w:val="left"/>
              <w:rPr>
                <w:rFonts w:ascii="宋体" w:hAnsi="宋体" w:cs="宋体"/>
                <w:sz w:val="22"/>
                <w:szCs w:val="22"/>
              </w:rPr>
            </w:pPr>
            <w:r>
              <w:rPr>
                <w:rFonts w:hint="eastAsia" w:ascii="宋体" w:hAnsi="宋体" w:cs="宋体"/>
                <w:sz w:val="22"/>
                <w:szCs w:val="22"/>
              </w:rPr>
              <w:t>（一）评审内容：</w:t>
            </w:r>
          </w:p>
          <w:p w14:paraId="7A309293">
            <w:pPr>
              <w:ind w:firstLine="440" w:firstLineChars="200"/>
              <w:jc w:val="left"/>
              <w:rPr>
                <w:rFonts w:ascii="宋体" w:hAnsi="宋体" w:cs="宋体"/>
                <w:sz w:val="22"/>
                <w:szCs w:val="22"/>
              </w:rPr>
            </w:pPr>
            <w:r>
              <w:rPr>
                <w:rFonts w:hint="eastAsia" w:ascii="宋体" w:hAnsi="宋体" w:cs="宋体"/>
                <w:sz w:val="22"/>
                <w:szCs w:val="22"/>
              </w:rPr>
              <w:t>投标人针对本项目的需求提供质量保障措施，内容包含：</w:t>
            </w:r>
          </w:p>
          <w:p w14:paraId="69252E08">
            <w:pPr>
              <w:jc w:val="left"/>
              <w:rPr>
                <w:rFonts w:ascii="宋体" w:hAnsi="宋体" w:cs="宋体"/>
                <w:sz w:val="22"/>
                <w:szCs w:val="22"/>
              </w:rPr>
            </w:pPr>
            <w:r>
              <w:rPr>
                <w:rFonts w:hint="eastAsia" w:ascii="宋体" w:hAnsi="宋体" w:cs="宋体"/>
                <w:sz w:val="22"/>
                <w:szCs w:val="22"/>
              </w:rPr>
              <w:t>1.技术保障方案；</w:t>
            </w:r>
          </w:p>
          <w:p w14:paraId="6070B2DB">
            <w:pPr>
              <w:jc w:val="left"/>
              <w:rPr>
                <w:rFonts w:ascii="宋体" w:hAnsi="宋体" w:cs="宋体"/>
                <w:sz w:val="22"/>
                <w:szCs w:val="22"/>
              </w:rPr>
            </w:pPr>
            <w:r>
              <w:rPr>
                <w:rFonts w:hint="eastAsia" w:ascii="宋体" w:hAnsi="宋体" w:cs="宋体"/>
                <w:sz w:val="22"/>
                <w:szCs w:val="22"/>
              </w:rPr>
              <w:t>2.实施进度；</w:t>
            </w:r>
          </w:p>
          <w:p w14:paraId="61EFD51C">
            <w:pPr>
              <w:jc w:val="left"/>
              <w:rPr>
                <w:rFonts w:ascii="宋体" w:hAnsi="宋体" w:cs="宋体"/>
                <w:sz w:val="22"/>
                <w:szCs w:val="22"/>
              </w:rPr>
            </w:pPr>
            <w:r>
              <w:rPr>
                <w:rFonts w:hint="eastAsia" w:ascii="宋体" w:hAnsi="宋体" w:cs="宋体"/>
                <w:sz w:val="22"/>
                <w:szCs w:val="22"/>
              </w:rPr>
              <w:t>3.相关配套措施。</w:t>
            </w:r>
          </w:p>
          <w:p w14:paraId="3C2AC48B">
            <w:pPr>
              <w:jc w:val="left"/>
              <w:rPr>
                <w:rFonts w:ascii="宋体" w:hAnsi="宋体" w:cs="宋体"/>
                <w:sz w:val="22"/>
                <w:szCs w:val="22"/>
              </w:rPr>
            </w:pPr>
            <w:r>
              <w:rPr>
                <w:rFonts w:hint="eastAsia" w:ascii="宋体" w:hAnsi="宋体" w:cs="宋体"/>
                <w:sz w:val="22"/>
                <w:szCs w:val="22"/>
              </w:rPr>
              <w:t>（二）评分依据：</w:t>
            </w:r>
          </w:p>
          <w:p w14:paraId="56173AEA">
            <w:pPr>
              <w:ind w:firstLine="440" w:firstLineChars="200"/>
              <w:jc w:val="left"/>
              <w:rPr>
                <w:rFonts w:ascii="宋体" w:hAnsi="宋体" w:cs="宋体"/>
                <w:sz w:val="22"/>
                <w:szCs w:val="22"/>
              </w:rPr>
            </w:pPr>
            <w:r>
              <w:rPr>
                <w:rFonts w:hint="eastAsia" w:ascii="宋体" w:hAnsi="宋体" w:cs="宋体"/>
                <w:sz w:val="22"/>
                <w:szCs w:val="22"/>
              </w:rPr>
              <w:t>每提供以上任意一项得1分，全部提供的得3分，未提供不得分。</w:t>
            </w:r>
          </w:p>
          <w:p w14:paraId="6EBAF194">
            <w:pPr>
              <w:ind w:firstLine="440" w:firstLineChars="200"/>
              <w:jc w:val="left"/>
              <w:rPr>
                <w:rFonts w:ascii="宋体" w:hAnsi="宋体" w:cs="宋体"/>
                <w:sz w:val="22"/>
                <w:szCs w:val="22"/>
              </w:rPr>
            </w:pPr>
            <w:r>
              <w:rPr>
                <w:rFonts w:hint="eastAsia" w:ascii="宋体" w:hAnsi="宋体" w:cs="宋体"/>
                <w:sz w:val="22"/>
                <w:szCs w:val="22"/>
              </w:rPr>
              <w:t>在此基础上，评审委员会根据各投标人的具体响应内容按照以下的评审因素指标进一步评审：</w:t>
            </w:r>
          </w:p>
          <w:p w14:paraId="5D1B8057">
            <w:pPr>
              <w:jc w:val="left"/>
              <w:rPr>
                <w:rFonts w:ascii="宋体" w:hAnsi="宋体" w:cs="宋体"/>
                <w:sz w:val="22"/>
                <w:szCs w:val="22"/>
              </w:rPr>
            </w:pPr>
            <w:r>
              <w:rPr>
                <w:rFonts w:hint="eastAsia" w:ascii="宋体" w:hAnsi="宋体" w:cs="宋体"/>
                <w:sz w:val="22"/>
                <w:szCs w:val="22"/>
              </w:rPr>
              <w:t>(1)质量保障措施内容科学性、合理性、针对性强，方案详细、具体的，得7分；</w:t>
            </w:r>
          </w:p>
          <w:p w14:paraId="1C9BADAF">
            <w:pPr>
              <w:jc w:val="left"/>
              <w:rPr>
                <w:rFonts w:ascii="宋体" w:hAnsi="宋体" w:cs="宋体"/>
                <w:sz w:val="22"/>
                <w:szCs w:val="22"/>
              </w:rPr>
            </w:pPr>
            <w:r>
              <w:rPr>
                <w:rFonts w:hint="eastAsia" w:ascii="宋体" w:hAnsi="宋体" w:cs="宋体"/>
                <w:sz w:val="22"/>
                <w:szCs w:val="22"/>
              </w:rPr>
              <w:t>(2)质量保障措施内容科学性、合理性、针对性较强，方案较详细、具体的，得4分；</w:t>
            </w:r>
          </w:p>
          <w:p w14:paraId="7890135F">
            <w:pPr>
              <w:jc w:val="left"/>
              <w:rPr>
                <w:rFonts w:ascii="宋体" w:hAnsi="宋体" w:cs="宋体"/>
                <w:sz w:val="22"/>
                <w:szCs w:val="22"/>
              </w:rPr>
            </w:pPr>
            <w:r>
              <w:rPr>
                <w:rFonts w:hint="eastAsia" w:ascii="宋体" w:hAnsi="宋体" w:cs="宋体"/>
                <w:sz w:val="22"/>
                <w:szCs w:val="22"/>
              </w:rPr>
              <w:t>(3)质量保障措施内容科学性、合理性、针对性一般，方案一般的，得1分；</w:t>
            </w:r>
          </w:p>
          <w:p w14:paraId="2739E47F">
            <w:pPr>
              <w:jc w:val="left"/>
              <w:rPr>
                <w:rFonts w:ascii="宋体" w:hAnsi="宋体" w:cs="宋体"/>
                <w:sz w:val="22"/>
                <w:szCs w:val="22"/>
              </w:rPr>
            </w:pPr>
            <w:r>
              <w:rPr>
                <w:rFonts w:hint="eastAsia" w:ascii="宋体" w:hAnsi="宋体" w:cs="宋体"/>
                <w:sz w:val="22"/>
                <w:szCs w:val="22"/>
              </w:rPr>
              <w:t>(4)质量保障措施内容差或未提供或内容与评审因素无关的，不得分。</w:t>
            </w:r>
          </w:p>
        </w:tc>
      </w:tr>
      <w:tr w14:paraId="6568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1ADC6655">
            <w:pPr>
              <w:jc w:val="center"/>
              <w:rPr>
                <w:rFonts w:ascii="宋体" w:hAnsi="宋体" w:cs="宋体"/>
                <w:sz w:val="22"/>
                <w:szCs w:val="22"/>
              </w:rPr>
            </w:pPr>
            <w:r>
              <w:rPr>
                <w:rFonts w:hint="eastAsia" w:ascii="宋体" w:hAnsi="宋体" w:cs="宋体"/>
                <w:sz w:val="22"/>
                <w:szCs w:val="22"/>
              </w:rPr>
              <w:t>5</w:t>
            </w:r>
          </w:p>
        </w:tc>
        <w:tc>
          <w:tcPr>
            <w:tcW w:w="1555" w:type="dxa"/>
            <w:tcBorders>
              <w:top w:val="single" w:color="auto" w:sz="4" w:space="0"/>
              <w:left w:val="single" w:color="auto" w:sz="4" w:space="0"/>
              <w:bottom w:val="single" w:color="auto" w:sz="4" w:space="0"/>
              <w:right w:val="single" w:color="auto" w:sz="4" w:space="0"/>
            </w:tcBorders>
            <w:vAlign w:val="center"/>
          </w:tcPr>
          <w:p w14:paraId="6CEA8CEF">
            <w:pPr>
              <w:widowControl/>
              <w:spacing w:line="300" w:lineRule="atLeast"/>
              <w:jc w:val="center"/>
              <w:rPr>
                <w:rFonts w:ascii="宋体" w:hAnsi="宋体" w:cs="宋体"/>
                <w:sz w:val="22"/>
                <w:szCs w:val="22"/>
              </w:rPr>
            </w:pPr>
            <w:r>
              <w:rPr>
                <w:rFonts w:hint="eastAsia" w:ascii="宋体" w:hAnsi="宋体" w:cs="宋体"/>
                <w:sz w:val="22"/>
                <w:szCs w:val="22"/>
              </w:rPr>
              <w:t>拟安排的项目负责人情况</w:t>
            </w:r>
          </w:p>
        </w:tc>
        <w:tc>
          <w:tcPr>
            <w:tcW w:w="475" w:type="dxa"/>
            <w:tcBorders>
              <w:top w:val="single" w:color="auto" w:sz="4" w:space="0"/>
              <w:left w:val="single" w:color="auto" w:sz="4" w:space="0"/>
              <w:bottom w:val="single" w:color="auto" w:sz="4" w:space="0"/>
              <w:right w:val="single" w:color="auto" w:sz="4" w:space="0"/>
            </w:tcBorders>
            <w:vAlign w:val="center"/>
          </w:tcPr>
          <w:p w14:paraId="042AFC40">
            <w:pPr>
              <w:widowControl/>
              <w:spacing w:line="300" w:lineRule="atLeast"/>
              <w:jc w:val="center"/>
              <w:rPr>
                <w:rFonts w:ascii="宋体" w:hAnsi="宋体" w:cs="宋体"/>
                <w:sz w:val="22"/>
                <w:szCs w:val="22"/>
              </w:rPr>
            </w:pPr>
            <w:r>
              <w:rPr>
                <w:rFonts w:hint="eastAsia" w:ascii="宋体" w:hAnsi="宋体" w:cs="宋体"/>
                <w:sz w:val="22"/>
                <w:szCs w:val="22"/>
              </w:rPr>
              <w:t>5</w:t>
            </w:r>
          </w:p>
        </w:tc>
        <w:tc>
          <w:tcPr>
            <w:tcW w:w="804" w:type="dxa"/>
            <w:tcBorders>
              <w:top w:val="single" w:color="auto" w:sz="4" w:space="0"/>
              <w:left w:val="single" w:color="auto" w:sz="4" w:space="0"/>
              <w:bottom w:val="single" w:color="auto" w:sz="4" w:space="0"/>
              <w:right w:val="single" w:color="auto" w:sz="4" w:space="0"/>
            </w:tcBorders>
            <w:vAlign w:val="center"/>
          </w:tcPr>
          <w:p w14:paraId="60738A60">
            <w:pPr>
              <w:jc w:val="center"/>
              <w:rPr>
                <w:rFonts w:ascii="宋体" w:hAnsi="宋体" w:cs="宋体"/>
                <w:sz w:val="22"/>
                <w:szCs w:val="22"/>
              </w:rPr>
            </w:pPr>
            <w:r>
              <w:rPr>
                <w:rFonts w:hint="eastAsia" w:ascii="宋体" w:hAnsi="宋体" w:cs="宋体"/>
                <w:sz w:val="22"/>
                <w:szCs w:val="22"/>
              </w:rPr>
              <w:t>专家打分</w:t>
            </w:r>
          </w:p>
        </w:tc>
        <w:tc>
          <w:tcPr>
            <w:tcW w:w="4929" w:type="dxa"/>
            <w:tcBorders>
              <w:top w:val="single" w:color="auto" w:sz="4" w:space="0"/>
              <w:left w:val="single" w:color="auto" w:sz="4" w:space="0"/>
              <w:bottom w:val="single" w:color="auto" w:sz="4" w:space="0"/>
              <w:right w:val="single" w:color="auto" w:sz="4" w:space="0"/>
            </w:tcBorders>
            <w:vAlign w:val="center"/>
          </w:tcPr>
          <w:p w14:paraId="032F26A4">
            <w:pPr>
              <w:spacing w:line="360" w:lineRule="auto"/>
              <w:textAlignment w:val="center"/>
              <w:rPr>
                <w:rFonts w:ascii="宋体" w:hAnsi="宋体" w:cs="宋体"/>
                <w:sz w:val="22"/>
                <w:szCs w:val="22"/>
                <w:lang w:bidi="ar"/>
              </w:rPr>
            </w:pPr>
            <w:r>
              <w:rPr>
                <w:rFonts w:hint="eastAsia" w:ascii="宋体" w:hAnsi="宋体" w:cs="宋体"/>
                <w:sz w:val="22"/>
                <w:szCs w:val="22"/>
                <w:lang w:bidi="ar"/>
              </w:rPr>
              <w:t>分内容：</w:t>
            </w:r>
          </w:p>
          <w:p w14:paraId="42EA17E7">
            <w:pPr>
              <w:spacing w:line="360" w:lineRule="auto"/>
              <w:textAlignment w:val="center"/>
              <w:rPr>
                <w:rFonts w:ascii="宋体" w:hAnsi="宋体" w:cs="宋体"/>
                <w:sz w:val="22"/>
                <w:szCs w:val="22"/>
                <w:lang w:bidi="ar"/>
              </w:rPr>
            </w:pPr>
            <w:r>
              <w:rPr>
                <w:rFonts w:hint="eastAsia" w:ascii="宋体" w:hAnsi="宋体" w:cs="宋体"/>
                <w:sz w:val="22"/>
                <w:szCs w:val="22"/>
                <w:lang w:bidi="ar"/>
              </w:rPr>
              <w:t>拟安排的项目负责人为投标人自有员工（以社保证明为准），否则本项不得分，在此基础上：</w:t>
            </w:r>
          </w:p>
          <w:p w14:paraId="29A3C6D9">
            <w:pPr>
              <w:spacing w:line="360" w:lineRule="auto"/>
              <w:textAlignment w:val="center"/>
              <w:rPr>
                <w:rFonts w:ascii="宋体" w:hAnsi="宋体" w:cs="宋体"/>
                <w:sz w:val="22"/>
                <w:szCs w:val="22"/>
                <w:lang w:bidi="ar"/>
              </w:rPr>
            </w:pPr>
            <w:r>
              <w:rPr>
                <w:rFonts w:hint="eastAsia" w:ascii="宋体" w:hAnsi="宋体" w:cs="宋体"/>
                <w:sz w:val="22"/>
                <w:szCs w:val="22"/>
                <w:lang w:bidi="ar"/>
              </w:rPr>
              <w:t>1.具有计算机相关专业的本科或以上学历的，得2.</w:t>
            </w:r>
            <w:r>
              <w:rPr>
                <w:rFonts w:ascii="宋体" w:hAnsi="宋体" w:cs="宋体"/>
                <w:sz w:val="22"/>
                <w:szCs w:val="22"/>
                <w:lang w:bidi="ar"/>
              </w:rPr>
              <w:t>5</w:t>
            </w:r>
            <w:r>
              <w:rPr>
                <w:rFonts w:hint="eastAsia" w:ascii="宋体" w:hAnsi="宋体" w:cs="宋体"/>
                <w:sz w:val="22"/>
                <w:szCs w:val="22"/>
                <w:lang w:bidi="ar"/>
              </w:rPr>
              <w:t>分；</w:t>
            </w:r>
          </w:p>
          <w:p w14:paraId="0B1039B8">
            <w:pPr>
              <w:spacing w:line="360" w:lineRule="auto"/>
              <w:textAlignment w:val="center"/>
              <w:rPr>
                <w:rFonts w:ascii="宋体" w:hAnsi="宋体" w:cs="宋体"/>
                <w:sz w:val="22"/>
                <w:szCs w:val="22"/>
                <w:lang w:bidi="ar"/>
              </w:rPr>
            </w:pPr>
            <w:r>
              <w:rPr>
                <w:rFonts w:hint="eastAsia" w:ascii="宋体" w:hAnsi="宋体" w:cs="宋体"/>
                <w:sz w:val="22"/>
                <w:szCs w:val="22"/>
                <w:lang w:bidi="ar"/>
              </w:rPr>
              <w:t>2.具有</w:t>
            </w:r>
            <w:r>
              <w:rPr>
                <w:rFonts w:hint="eastAsia" w:ascii="宋体" w:hAnsi="宋体" w:cs="宋体"/>
                <w:sz w:val="22"/>
                <w:szCs w:val="22"/>
                <w:lang w:val="en-US" w:eastAsia="zh-CN" w:bidi="ar"/>
              </w:rPr>
              <w:t>3年及以上同类项目从业经验</w:t>
            </w:r>
            <w:r>
              <w:rPr>
                <w:rFonts w:hint="eastAsia" w:ascii="宋体" w:hAnsi="宋体" w:cs="宋体"/>
                <w:sz w:val="22"/>
                <w:szCs w:val="22"/>
                <w:lang w:bidi="ar"/>
              </w:rPr>
              <w:t>，得2.</w:t>
            </w:r>
            <w:r>
              <w:rPr>
                <w:rFonts w:ascii="宋体" w:hAnsi="宋体" w:cs="宋体"/>
                <w:sz w:val="22"/>
                <w:szCs w:val="22"/>
                <w:lang w:bidi="ar"/>
              </w:rPr>
              <w:t>5</w:t>
            </w:r>
            <w:r>
              <w:rPr>
                <w:rFonts w:hint="eastAsia" w:ascii="宋体" w:hAnsi="宋体" w:cs="宋体"/>
                <w:sz w:val="22"/>
                <w:szCs w:val="22"/>
                <w:lang w:bidi="ar"/>
              </w:rPr>
              <w:t>分；</w:t>
            </w:r>
          </w:p>
          <w:p w14:paraId="22F91596">
            <w:pPr>
              <w:spacing w:line="360" w:lineRule="auto"/>
              <w:textAlignment w:val="center"/>
              <w:rPr>
                <w:rFonts w:ascii="宋体" w:hAnsi="宋体" w:cs="宋体"/>
                <w:sz w:val="22"/>
                <w:szCs w:val="22"/>
                <w:lang w:bidi="ar"/>
              </w:rPr>
            </w:pPr>
            <w:r>
              <w:rPr>
                <w:rFonts w:hint="eastAsia" w:ascii="宋体" w:hAnsi="宋体" w:cs="宋体"/>
                <w:sz w:val="22"/>
                <w:szCs w:val="22"/>
                <w:lang w:bidi="ar"/>
              </w:rPr>
              <w:t>以上二项最高得</w:t>
            </w:r>
            <w:r>
              <w:rPr>
                <w:rFonts w:ascii="宋体" w:hAnsi="宋体" w:cs="宋体"/>
                <w:sz w:val="22"/>
                <w:szCs w:val="22"/>
                <w:lang w:bidi="ar"/>
              </w:rPr>
              <w:t>5</w:t>
            </w:r>
            <w:r>
              <w:rPr>
                <w:rFonts w:hint="eastAsia" w:ascii="宋体" w:hAnsi="宋体" w:cs="宋体"/>
                <w:sz w:val="22"/>
                <w:szCs w:val="22"/>
                <w:lang w:bidi="ar"/>
              </w:rPr>
              <w:t>分。</w:t>
            </w:r>
          </w:p>
          <w:p w14:paraId="48BDD7A9">
            <w:pPr>
              <w:spacing w:line="360" w:lineRule="auto"/>
              <w:textAlignment w:val="center"/>
              <w:rPr>
                <w:rFonts w:ascii="宋体" w:hAnsi="宋体" w:cs="宋体"/>
                <w:sz w:val="22"/>
                <w:szCs w:val="22"/>
                <w:lang w:bidi="ar"/>
              </w:rPr>
            </w:pPr>
            <w:r>
              <w:rPr>
                <w:rFonts w:hint="eastAsia" w:ascii="宋体" w:hAnsi="宋体" w:cs="宋体"/>
                <w:sz w:val="22"/>
                <w:szCs w:val="22"/>
                <w:lang w:bidi="ar"/>
              </w:rPr>
              <w:t>评分依据：</w:t>
            </w:r>
          </w:p>
          <w:p w14:paraId="360742C4">
            <w:pPr>
              <w:spacing w:line="360" w:lineRule="auto"/>
              <w:textAlignment w:val="center"/>
              <w:rPr>
                <w:rFonts w:ascii="宋体" w:hAnsi="宋体" w:cs="宋体"/>
                <w:sz w:val="22"/>
                <w:szCs w:val="22"/>
                <w:lang w:bidi="ar"/>
              </w:rPr>
            </w:pPr>
            <w:r>
              <w:rPr>
                <w:rFonts w:hint="eastAsia" w:ascii="宋体" w:hAnsi="宋体" w:cs="宋体"/>
                <w:sz w:val="22"/>
                <w:szCs w:val="22"/>
                <w:lang w:bidi="ar"/>
              </w:rPr>
              <w:t>1.提供投标人为其缴纳的近三个月（含开标当月）的任意一个月的社保证明作为本单位员工的证明依据；社保资料至少显示缴交养老保险信息，未显示该信息的该社保资料则不符合要求[如投标人成立时间不足一个月的无需提供社保证明，以营业执照成立时间为准，并提供承诺项目负责人为投标人自有员工的承诺函（格式自拟）]。退休返聘人员提供相关人员退休证及劳动合同亦视为符合要求。如依法不需要缴纳社会保险的，提供相应文件证明亦视为符合要求。如因社保部门原因无法提供社保证明的，提供劳动合同及社保部门官方通知证明（或官网公告截图）亦视为符合要求。</w:t>
            </w:r>
          </w:p>
          <w:p w14:paraId="4F9920E9">
            <w:pPr>
              <w:spacing w:line="360" w:lineRule="auto"/>
              <w:textAlignment w:val="center"/>
              <w:rPr>
                <w:rFonts w:ascii="宋体" w:hAnsi="宋体" w:cs="宋体"/>
                <w:sz w:val="22"/>
                <w:szCs w:val="22"/>
                <w:lang w:bidi="ar"/>
              </w:rPr>
            </w:pPr>
            <w:r>
              <w:rPr>
                <w:rFonts w:hint="eastAsia" w:ascii="宋体" w:hAnsi="宋体" w:cs="宋体"/>
                <w:sz w:val="22"/>
                <w:szCs w:val="22"/>
                <w:lang w:bidi="ar"/>
              </w:rPr>
              <w:t>2.评分内容第1点需提供学历证书及学信网查询记录截图作为证明依据。对于较早颁发的学历证书，学信网无法查询的，除提供证书扫描件外，可提供其他佐证材料（如毕业院校、人社部门等颁发机构或监管机构等单位出具的证明）作为证明依据；留学归国人员如无法提供学信网查询记录截图，提供国（境）外学历证书扫描件和教育部留学服务中心出具的国外学历学位认证书扫描件【或教育部留学服务中心网站（http://zwfw.cscse.edu.cn/）在线查询截图】也予以认可；</w:t>
            </w:r>
          </w:p>
          <w:p w14:paraId="40905DF7">
            <w:pPr>
              <w:spacing w:line="360" w:lineRule="auto"/>
              <w:textAlignment w:val="center"/>
              <w:rPr>
                <w:rFonts w:ascii="宋体" w:hAnsi="宋体" w:cs="宋体"/>
                <w:sz w:val="22"/>
                <w:szCs w:val="22"/>
                <w:lang w:bidi="ar"/>
              </w:rPr>
            </w:pPr>
            <w:r>
              <w:rPr>
                <w:rFonts w:hint="eastAsia" w:ascii="宋体" w:hAnsi="宋体" w:cs="宋体"/>
                <w:sz w:val="22"/>
                <w:szCs w:val="22"/>
                <w:lang w:bidi="ar"/>
              </w:rPr>
              <w:t>3. 评分内容第2点需提供证书扫描件及中国计算机技术职业资格网（https://www.ruankao.org.cn/）查询记录截图作为得分证明材料。</w:t>
            </w:r>
          </w:p>
          <w:p w14:paraId="011358C4">
            <w:pPr>
              <w:widowControl/>
              <w:jc w:val="left"/>
              <w:rPr>
                <w:rFonts w:ascii="宋体" w:hAnsi="宋体" w:cs="宋体"/>
                <w:sz w:val="22"/>
                <w:szCs w:val="22"/>
              </w:rPr>
            </w:pPr>
            <w:r>
              <w:rPr>
                <w:rFonts w:hint="eastAsia" w:ascii="宋体" w:hAnsi="宋体" w:cs="宋体"/>
                <w:sz w:val="22"/>
                <w:szCs w:val="22"/>
                <w:lang w:bidi="ar"/>
              </w:rPr>
              <w:t>以上资料均要求提供扫描件，原件备查。评分中出现无证明资料或专家无法凭所提供资料判断是否得分的情况，一律作不得分处理。</w:t>
            </w:r>
          </w:p>
        </w:tc>
      </w:tr>
      <w:tr w14:paraId="182F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0" w:type="dxa"/>
            <w:gridSpan w:val="3"/>
            <w:tcBorders>
              <w:top w:val="single" w:color="auto" w:sz="4" w:space="0"/>
              <w:left w:val="single" w:color="auto" w:sz="4" w:space="0"/>
              <w:bottom w:val="single" w:color="auto" w:sz="4" w:space="0"/>
              <w:right w:val="single" w:color="auto" w:sz="4" w:space="0"/>
            </w:tcBorders>
          </w:tcPr>
          <w:p w14:paraId="5613ED0A">
            <w:pPr>
              <w:jc w:val="center"/>
              <w:rPr>
                <w:rFonts w:ascii="宋体" w:hAnsi="宋体" w:cs="宋体"/>
                <w:b/>
                <w:sz w:val="22"/>
                <w:szCs w:val="22"/>
              </w:rPr>
            </w:pPr>
            <w:r>
              <w:rPr>
                <w:rFonts w:hint="eastAsia" w:ascii="宋体" w:hAnsi="宋体" w:cs="宋体"/>
                <w:b/>
                <w:sz w:val="22"/>
                <w:szCs w:val="22"/>
              </w:rPr>
              <w:t>商务部分</w:t>
            </w:r>
          </w:p>
        </w:tc>
        <w:tc>
          <w:tcPr>
            <w:tcW w:w="5733" w:type="dxa"/>
            <w:gridSpan w:val="2"/>
            <w:tcBorders>
              <w:top w:val="single" w:color="auto" w:sz="4" w:space="0"/>
              <w:left w:val="single" w:color="auto" w:sz="4" w:space="0"/>
              <w:bottom w:val="single" w:color="auto" w:sz="4" w:space="0"/>
              <w:right w:val="single" w:color="auto" w:sz="4" w:space="0"/>
            </w:tcBorders>
          </w:tcPr>
          <w:p w14:paraId="6A253B46">
            <w:pPr>
              <w:jc w:val="center"/>
              <w:rPr>
                <w:rFonts w:ascii="宋体" w:hAnsi="宋体" w:cs="宋体"/>
                <w:b/>
                <w:sz w:val="22"/>
                <w:szCs w:val="22"/>
              </w:rPr>
            </w:pPr>
            <w:r>
              <w:rPr>
                <w:rFonts w:hint="eastAsia" w:ascii="宋体" w:hAnsi="宋体" w:cs="宋体"/>
                <w:b/>
                <w:sz w:val="22"/>
                <w:szCs w:val="22"/>
              </w:rPr>
              <w:t>5</w:t>
            </w:r>
          </w:p>
        </w:tc>
      </w:tr>
      <w:tr w14:paraId="5B72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740" w:type="dxa"/>
            <w:tcBorders>
              <w:top w:val="single" w:color="auto" w:sz="4" w:space="0"/>
              <w:left w:val="single" w:color="auto" w:sz="4" w:space="0"/>
              <w:bottom w:val="single" w:color="auto" w:sz="4" w:space="0"/>
              <w:right w:val="single" w:color="auto" w:sz="4" w:space="0"/>
            </w:tcBorders>
          </w:tcPr>
          <w:p w14:paraId="6F2A21A3">
            <w:pPr>
              <w:jc w:val="center"/>
              <w:rPr>
                <w:rFonts w:ascii="宋体" w:hAnsi="宋体" w:cs="宋体"/>
                <w:sz w:val="22"/>
                <w:szCs w:val="22"/>
              </w:rPr>
            </w:pPr>
            <w:r>
              <w:rPr>
                <w:rFonts w:hint="eastAsia" w:ascii="宋体" w:hAnsi="宋体" w:cs="宋体"/>
                <w:sz w:val="22"/>
                <w:szCs w:val="22"/>
              </w:rPr>
              <w:t>序号</w:t>
            </w:r>
          </w:p>
        </w:tc>
        <w:tc>
          <w:tcPr>
            <w:tcW w:w="1555" w:type="dxa"/>
            <w:tcBorders>
              <w:top w:val="single" w:color="auto" w:sz="4" w:space="0"/>
              <w:left w:val="single" w:color="auto" w:sz="4" w:space="0"/>
              <w:bottom w:val="single" w:color="auto" w:sz="4" w:space="0"/>
              <w:right w:val="single" w:color="auto" w:sz="4" w:space="0"/>
            </w:tcBorders>
          </w:tcPr>
          <w:p w14:paraId="253BD670">
            <w:pPr>
              <w:jc w:val="center"/>
              <w:rPr>
                <w:rFonts w:ascii="宋体" w:hAnsi="宋体" w:cs="宋体"/>
                <w:sz w:val="22"/>
                <w:szCs w:val="22"/>
              </w:rPr>
            </w:pPr>
            <w:r>
              <w:rPr>
                <w:rFonts w:hint="eastAsia" w:ascii="宋体" w:hAnsi="宋体" w:cs="宋体"/>
                <w:sz w:val="22"/>
                <w:szCs w:val="22"/>
              </w:rPr>
              <w:t>评分因素</w:t>
            </w:r>
          </w:p>
        </w:tc>
        <w:tc>
          <w:tcPr>
            <w:tcW w:w="475" w:type="dxa"/>
            <w:tcBorders>
              <w:top w:val="single" w:color="auto" w:sz="4" w:space="0"/>
              <w:left w:val="single" w:color="auto" w:sz="4" w:space="0"/>
              <w:bottom w:val="single" w:color="auto" w:sz="4" w:space="0"/>
              <w:right w:val="single" w:color="auto" w:sz="4" w:space="0"/>
            </w:tcBorders>
          </w:tcPr>
          <w:p w14:paraId="682C981D">
            <w:pPr>
              <w:jc w:val="center"/>
              <w:rPr>
                <w:rFonts w:ascii="宋体" w:hAnsi="宋体" w:cs="宋体"/>
                <w:sz w:val="22"/>
                <w:szCs w:val="22"/>
              </w:rPr>
            </w:pPr>
            <w:r>
              <w:rPr>
                <w:rFonts w:hint="eastAsia" w:ascii="宋体" w:hAnsi="宋体" w:cs="宋体"/>
                <w:sz w:val="22"/>
                <w:szCs w:val="22"/>
              </w:rPr>
              <w:t>权重</w:t>
            </w:r>
          </w:p>
        </w:tc>
        <w:tc>
          <w:tcPr>
            <w:tcW w:w="804" w:type="dxa"/>
            <w:tcBorders>
              <w:top w:val="single" w:color="auto" w:sz="4" w:space="0"/>
              <w:left w:val="single" w:color="auto" w:sz="4" w:space="0"/>
              <w:bottom w:val="single" w:color="auto" w:sz="4" w:space="0"/>
              <w:right w:val="single" w:color="auto" w:sz="4" w:space="0"/>
            </w:tcBorders>
          </w:tcPr>
          <w:p w14:paraId="31455A71">
            <w:pPr>
              <w:jc w:val="center"/>
              <w:rPr>
                <w:rFonts w:ascii="宋体" w:hAnsi="宋体" w:cs="宋体"/>
                <w:sz w:val="22"/>
                <w:szCs w:val="22"/>
              </w:rPr>
            </w:pPr>
            <w:r>
              <w:rPr>
                <w:rFonts w:hint="eastAsia" w:ascii="宋体" w:hAnsi="宋体" w:cs="宋体"/>
                <w:sz w:val="22"/>
                <w:szCs w:val="22"/>
              </w:rPr>
              <w:t>评分方式</w:t>
            </w:r>
          </w:p>
        </w:tc>
        <w:tc>
          <w:tcPr>
            <w:tcW w:w="4929" w:type="dxa"/>
            <w:tcBorders>
              <w:top w:val="single" w:color="auto" w:sz="4" w:space="0"/>
              <w:left w:val="single" w:color="auto" w:sz="4" w:space="0"/>
              <w:bottom w:val="single" w:color="auto" w:sz="4" w:space="0"/>
              <w:right w:val="single" w:color="auto" w:sz="4" w:space="0"/>
            </w:tcBorders>
          </w:tcPr>
          <w:p w14:paraId="682ED9D9">
            <w:pPr>
              <w:jc w:val="center"/>
              <w:rPr>
                <w:rFonts w:ascii="宋体" w:hAnsi="宋体" w:cs="宋体"/>
                <w:sz w:val="22"/>
                <w:szCs w:val="22"/>
              </w:rPr>
            </w:pPr>
            <w:r>
              <w:rPr>
                <w:rFonts w:hint="eastAsia" w:ascii="宋体" w:hAnsi="宋体" w:cs="宋体"/>
                <w:sz w:val="22"/>
                <w:szCs w:val="22"/>
              </w:rPr>
              <w:t>评分准则</w:t>
            </w:r>
          </w:p>
        </w:tc>
      </w:tr>
      <w:tr w14:paraId="1D4F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0560F07B">
            <w:pPr>
              <w:jc w:val="center"/>
              <w:rPr>
                <w:rFonts w:ascii="宋体" w:hAnsi="宋体" w:cs="宋体"/>
                <w:sz w:val="22"/>
                <w:szCs w:val="22"/>
              </w:rPr>
            </w:pPr>
            <w:r>
              <w:rPr>
                <w:rFonts w:hint="eastAsia" w:ascii="宋体" w:hAnsi="宋体" w:cs="宋体"/>
                <w:sz w:val="22"/>
                <w:szCs w:val="22"/>
              </w:rPr>
              <w:t>1</w:t>
            </w:r>
          </w:p>
        </w:tc>
        <w:tc>
          <w:tcPr>
            <w:tcW w:w="1555" w:type="dxa"/>
            <w:tcBorders>
              <w:top w:val="single" w:color="auto" w:sz="4" w:space="0"/>
              <w:left w:val="single" w:color="auto" w:sz="4" w:space="0"/>
              <w:bottom w:val="single" w:color="auto" w:sz="4" w:space="0"/>
              <w:right w:val="single" w:color="auto" w:sz="4" w:space="0"/>
            </w:tcBorders>
            <w:vAlign w:val="center"/>
          </w:tcPr>
          <w:p w14:paraId="35755CC5">
            <w:pPr>
              <w:widowControl/>
              <w:spacing w:line="120" w:lineRule="atLeast"/>
              <w:jc w:val="left"/>
              <w:rPr>
                <w:rFonts w:ascii="宋体" w:hAnsi="宋体" w:cs="宋体"/>
                <w:sz w:val="22"/>
                <w:szCs w:val="22"/>
              </w:rPr>
            </w:pPr>
            <w:r>
              <w:rPr>
                <w:rFonts w:hint="eastAsia" w:ascii="宋体" w:hAnsi="宋体" w:cs="宋体"/>
                <w:sz w:val="22"/>
                <w:szCs w:val="22"/>
              </w:rPr>
              <w:t>投标人通过相关认证情况</w:t>
            </w:r>
          </w:p>
        </w:tc>
        <w:tc>
          <w:tcPr>
            <w:tcW w:w="475" w:type="dxa"/>
            <w:tcBorders>
              <w:top w:val="single" w:color="auto" w:sz="4" w:space="0"/>
              <w:left w:val="single" w:color="auto" w:sz="4" w:space="0"/>
              <w:bottom w:val="single" w:color="auto" w:sz="4" w:space="0"/>
              <w:right w:val="single" w:color="auto" w:sz="4" w:space="0"/>
            </w:tcBorders>
            <w:vAlign w:val="center"/>
          </w:tcPr>
          <w:p w14:paraId="3EF2A730">
            <w:pPr>
              <w:widowControl/>
              <w:spacing w:line="120" w:lineRule="atLeast"/>
              <w:jc w:val="left"/>
              <w:rPr>
                <w:rFonts w:ascii="宋体" w:hAnsi="宋体" w:cs="宋体"/>
                <w:sz w:val="22"/>
                <w:szCs w:val="22"/>
              </w:rPr>
            </w:pPr>
            <w:r>
              <w:rPr>
                <w:rFonts w:hint="eastAsia" w:ascii="宋体" w:hAnsi="宋体" w:cs="宋体"/>
                <w:sz w:val="22"/>
                <w:szCs w:val="22"/>
              </w:rPr>
              <w:t>5</w:t>
            </w:r>
          </w:p>
        </w:tc>
        <w:tc>
          <w:tcPr>
            <w:tcW w:w="804" w:type="dxa"/>
            <w:tcBorders>
              <w:top w:val="single" w:color="auto" w:sz="4" w:space="0"/>
              <w:left w:val="single" w:color="auto" w:sz="4" w:space="0"/>
              <w:bottom w:val="single" w:color="auto" w:sz="4" w:space="0"/>
              <w:right w:val="single" w:color="auto" w:sz="4" w:space="0"/>
            </w:tcBorders>
            <w:vAlign w:val="center"/>
          </w:tcPr>
          <w:p w14:paraId="6F442965">
            <w:pPr>
              <w:widowControl/>
              <w:spacing w:line="120" w:lineRule="atLeast"/>
              <w:jc w:val="left"/>
              <w:rPr>
                <w:rFonts w:ascii="宋体" w:hAnsi="宋体" w:cs="宋体"/>
                <w:sz w:val="22"/>
                <w:szCs w:val="22"/>
              </w:rPr>
            </w:pPr>
            <w:r>
              <w:rPr>
                <w:rFonts w:hint="eastAsia" w:ascii="宋体" w:hAnsi="宋体" w:cs="宋体"/>
                <w:sz w:val="22"/>
                <w:szCs w:val="22"/>
              </w:rPr>
              <w:t>专家打分</w:t>
            </w:r>
          </w:p>
        </w:tc>
        <w:tc>
          <w:tcPr>
            <w:tcW w:w="4929" w:type="dxa"/>
            <w:tcBorders>
              <w:top w:val="single" w:color="auto" w:sz="4" w:space="0"/>
              <w:left w:val="single" w:color="auto" w:sz="4" w:space="0"/>
              <w:bottom w:val="single" w:color="auto" w:sz="4" w:space="0"/>
              <w:right w:val="single" w:color="auto" w:sz="4" w:space="0"/>
            </w:tcBorders>
            <w:vAlign w:val="center"/>
          </w:tcPr>
          <w:p w14:paraId="7D003749">
            <w:pPr>
              <w:widowControl/>
              <w:spacing w:line="120" w:lineRule="atLeast"/>
              <w:jc w:val="left"/>
              <w:rPr>
                <w:rFonts w:ascii="宋体" w:hAnsi="宋体" w:cs="宋体"/>
                <w:sz w:val="22"/>
                <w:szCs w:val="22"/>
              </w:rPr>
            </w:pPr>
            <w:r>
              <w:rPr>
                <w:rFonts w:hint="eastAsia" w:ascii="宋体" w:hAnsi="宋体" w:cs="宋体"/>
                <w:sz w:val="22"/>
                <w:szCs w:val="22"/>
              </w:rPr>
              <w:t>（一）评分内容：</w:t>
            </w:r>
          </w:p>
          <w:p w14:paraId="6660815C">
            <w:pPr>
              <w:widowControl/>
              <w:spacing w:line="120" w:lineRule="atLeast"/>
              <w:jc w:val="left"/>
              <w:rPr>
                <w:rFonts w:ascii="宋体" w:hAnsi="宋体" w:cs="宋体"/>
                <w:sz w:val="22"/>
                <w:szCs w:val="22"/>
              </w:rPr>
            </w:pPr>
            <w:r>
              <w:rPr>
                <w:rFonts w:hint="eastAsia" w:ascii="宋体" w:hAnsi="宋体" w:cs="宋体"/>
                <w:sz w:val="22"/>
                <w:szCs w:val="22"/>
              </w:rPr>
              <w:t>投标人具有质量管理体系认证，得5分；</w:t>
            </w:r>
          </w:p>
          <w:p w14:paraId="1FB57547">
            <w:pPr>
              <w:widowControl/>
              <w:spacing w:line="120" w:lineRule="atLeast"/>
              <w:jc w:val="left"/>
              <w:rPr>
                <w:rFonts w:ascii="宋体" w:hAnsi="宋体" w:cs="宋体"/>
                <w:sz w:val="22"/>
                <w:szCs w:val="22"/>
              </w:rPr>
            </w:pPr>
            <w:r>
              <w:rPr>
                <w:rFonts w:hint="eastAsia" w:ascii="宋体" w:hAnsi="宋体" w:cs="宋体"/>
                <w:sz w:val="22"/>
                <w:szCs w:val="22"/>
              </w:rPr>
              <w:t>（二）评审依据：</w:t>
            </w:r>
          </w:p>
          <w:p w14:paraId="076C4CF2">
            <w:pPr>
              <w:widowControl/>
              <w:spacing w:line="120" w:lineRule="atLeast"/>
              <w:jc w:val="left"/>
              <w:rPr>
                <w:rFonts w:ascii="宋体" w:hAnsi="宋体" w:cs="宋体"/>
                <w:sz w:val="22"/>
                <w:szCs w:val="22"/>
              </w:rPr>
            </w:pPr>
            <w:r>
              <w:rPr>
                <w:rFonts w:hint="eastAsia" w:ascii="宋体" w:hAnsi="宋体" w:cs="宋体"/>
                <w:sz w:val="22"/>
                <w:szCs w:val="22"/>
              </w:rPr>
              <w:t>提供相关认证机构颁发的有效期内的认证证书扫描件及认证信息查询截图（截图需显示证书状态为有效）。</w:t>
            </w:r>
          </w:p>
          <w:p w14:paraId="72576ECA">
            <w:pPr>
              <w:widowControl/>
              <w:spacing w:line="120" w:lineRule="atLeast"/>
              <w:jc w:val="left"/>
              <w:rPr>
                <w:rFonts w:ascii="宋体" w:hAnsi="宋体" w:cs="宋体"/>
                <w:sz w:val="22"/>
                <w:szCs w:val="22"/>
              </w:rPr>
            </w:pPr>
            <w:r>
              <w:rPr>
                <w:rFonts w:hint="eastAsia" w:ascii="宋体" w:hAnsi="宋体" w:cs="宋体"/>
                <w:sz w:val="22"/>
                <w:szCs w:val="22"/>
              </w:rPr>
              <w:t>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3E07C1F7">
            <w:pPr>
              <w:widowControl/>
              <w:spacing w:line="120" w:lineRule="atLeast"/>
              <w:jc w:val="left"/>
              <w:rPr>
                <w:rFonts w:ascii="宋体" w:hAnsi="宋体" w:cs="宋体"/>
                <w:sz w:val="22"/>
                <w:szCs w:val="22"/>
              </w:rPr>
            </w:pPr>
            <w:r>
              <w:rPr>
                <w:rFonts w:hint="eastAsia" w:ascii="宋体" w:hAnsi="宋体" w:cs="宋体"/>
                <w:sz w:val="22"/>
                <w:szCs w:val="22"/>
              </w:rPr>
              <w:t>未按要求提供相关证明材料（或相关证明材料无法判断是否符合评分要求）的不计得分，原件备查。</w:t>
            </w:r>
          </w:p>
        </w:tc>
      </w:tr>
      <w:tr w14:paraId="16A1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40" w:type="dxa"/>
            <w:tcBorders>
              <w:top w:val="single" w:color="auto" w:sz="4" w:space="0"/>
              <w:left w:val="single" w:color="auto" w:sz="4" w:space="0"/>
              <w:bottom w:val="single" w:color="auto" w:sz="4" w:space="0"/>
              <w:right w:val="single" w:color="auto" w:sz="4" w:space="0"/>
            </w:tcBorders>
          </w:tcPr>
          <w:p w14:paraId="1EF9E2D8">
            <w:pPr>
              <w:jc w:val="center"/>
              <w:rPr>
                <w:rFonts w:ascii="宋体" w:hAnsi="宋体" w:cs="宋体"/>
                <w:b/>
                <w:sz w:val="22"/>
                <w:szCs w:val="22"/>
              </w:rPr>
            </w:pPr>
            <w:r>
              <w:rPr>
                <w:rFonts w:hint="eastAsia" w:ascii="宋体" w:hAnsi="宋体" w:cs="宋体"/>
                <w:b/>
                <w:sz w:val="22"/>
                <w:szCs w:val="22"/>
              </w:rPr>
              <w:t>诚信情况</w:t>
            </w:r>
          </w:p>
        </w:tc>
        <w:tc>
          <w:tcPr>
            <w:tcW w:w="7763" w:type="dxa"/>
            <w:gridSpan w:val="4"/>
            <w:tcBorders>
              <w:top w:val="single" w:color="auto" w:sz="4" w:space="0"/>
              <w:left w:val="single" w:color="auto" w:sz="4" w:space="0"/>
              <w:bottom w:val="single" w:color="auto" w:sz="4" w:space="0"/>
              <w:right w:val="single" w:color="auto" w:sz="4" w:space="0"/>
            </w:tcBorders>
          </w:tcPr>
          <w:p w14:paraId="6D3E0853">
            <w:pPr>
              <w:widowControl/>
              <w:spacing w:line="120" w:lineRule="atLeast"/>
              <w:jc w:val="center"/>
              <w:rPr>
                <w:rFonts w:ascii="宋体" w:hAnsi="宋体" w:cs="宋体"/>
                <w:sz w:val="22"/>
                <w:szCs w:val="22"/>
              </w:rPr>
            </w:pPr>
            <w:r>
              <w:rPr>
                <w:rFonts w:hint="eastAsia" w:ascii="宋体" w:hAnsi="宋体" w:cs="宋体"/>
                <w:b/>
                <w:sz w:val="22"/>
                <w:szCs w:val="22"/>
              </w:rPr>
              <w:t>5</w:t>
            </w:r>
          </w:p>
        </w:tc>
      </w:tr>
      <w:tr w14:paraId="01F8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40" w:type="dxa"/>
            <w:tcBorders>
              <w:top w:val="single" w:color="auto" w:sz="4" w:space="0"/>
              <w:left w:val="single" w:color="auto" w:sz="4" w:space="0"/>
              <w:bottom w:val="single" w:color="auto" w:sz="4" w:space="0"/>
              <w:right w:val="single" w:color="auto" w:sz="4" w:space="0"/>
            </w:tcBorders>
          </w:tcPr>
          <w:p w14:paraId="432FAD4E">
            <w:pPr>
              <w:jc w:val="center"/>
              <w:rPr>
                <w:rFonts w:ascii="宋体" w:hAnsi="宋体" w:cs="宋体"/>
                <w:sz w:val="22"/>
                <w:szCs w:val="22"/>
              </w:rPr>
            </w:pPr>
            <w:r>
              <w:rPr>
                <w:rFonts w:hint="eastAsia" w:ascii="宋体" w:hAnsi="宋体" w:cs="宋体"/>
                <w:sz w:val="22"/>
                <w:szCs w:val="22"/>
              </w:rPr>
              <w:t>序号</w:t>
            </w:r>
          </w:p>
        </w:tc>
        <w:tc>
          <w:tcPr>
            <w:tcW w:w="1555" w:type="dxa"/>
            <w:tcBorders>
              <w:top w:val="single" w:color="auto" w:sz="4" w:space="0"/>
              <w:left w:val="single" w:color="auto" w:sz="4" w:space="0"/>
              <w:bottom w:val="single" w:color="auto" w:sz="4" w:space="0"/>
              <w:right w:val="single" w:color="auto" w:sz="4" w:space="0"/>
            </w:tcBorders>
          </w:tcPr>
          <w:p w14:paraId="77BB4784">
            <w:pPr>
              <w:jc w:val="center"/>
              <w:rPr>
                <w:rFonts w:ascii="宋体" w:hAnsi="宋体" w:cs="宋体"/>
                <w:sz w:val="22"/>
                <w:szCs w:val="22"/>
              </w:rPr>
            </w:pPr>
            <w:r>
              <w:rPr>
                <w:rFonts w:hint="eastAsia" w:ascii="宋体" w:hAnsi="宋体" w:cs="宋体"/>
                <w:sz w:val="22"/>
                <w:szCs w:val="22"/>
              </w:rPr>
              <w:t>评分因素</w:t>
            </w:r>
          </w:p>
        </w:tc>
        <w:tc>
          <w:tcPr>
            <w:tcW w:w="475" w:type="dxa"/>
            <w:tcBorders>
              <w:top w:val="single" w:color="auto" w:sz="4" w:space="0"/>
              <w:left w:val="single" w:color="auto" w:sz="4" w:space="0"/>
              <w:bottom w:val="single" w:color="auto" w:sz="4" w:space="0"/>
              <w:right w:val="single" w:color="auto" w:sz="4" w:space="0"/>
            </w:tcBorders>
          </w:tcPr>
          <w:p w14:paraId="0F7CC84A">
            <w:pPr>
              <w:jc w:val="center"/>
              <w:rPr>
                <w:rFonts w:ascii="宋体" w:hAnsi="宋体" w:cs="宋体"/>
                <w:sz w:val="22"/>
                <w:szCs w:val="22"/>
              </w:rPr>
            </w:pPr>
            <w:r>
              <w:rPr>
                <w:rFonts w:hint="eastAsia" w:ascii="宋体" w:hAnsi="宋体" w:cs="宋体"/>
                <w:sz w:val="22"/>
                <w:szCs w:val="22"/>
              </w:rPr>
              <w:t>权重</w:t>
            </w:r>
          </w:p>
        </w:tc>
        <w:tc>
          <w:tcPr>
            <w:tcW w:w="804" w:type="dxa"/>
            <w:tcBorders>
              <w:top w:val="single" w:color="auto" w:sz="4" w:space="0"/>
              <w:left w:val="single" w:color="auto" w:sz="4" w:space="0"/>
              <w:bottom w:val="single" w:color="auto" w:sz="4" w:space="0"/>
              <w:right w:val="single" w:color="auto" w:sz="4" w:space="0"/>
            </w:tcBorders>
          </w:tcPr>
          <w:p w14:paraId="70854041">
            <w:pPr>
              <w:jc w:val="center"/>
              <w:rPr>
                <w:rFonts w:ascii="宋体" w:hAnsi="宋体" w:cs="宋体"/>
                <w:sz w:val="22"/>
                <w:szCs w:val="22"/>
              </w:rPr>
            </w:pPr>
            <w:r>
              <w:rPr>
                <w:rFonts w:hint="eastAsia" w:ascii="宋体" w:hAnsi="宋体" w:cs="宋体"/>
                <w:sz w:val="22"/>
                <w:szCs w:val="22"/>
              </w:rPr>
              <w:t>评分方式</w:t>
            </w:r>
          </w:p>
        </w:tc>
        <w:tc>
          <w:tcPr>
            <w:tcW w:w="4929" w:type="dxa"/>
            <w:tcBorders>
              <w:top w:val="single" w:color="auto" w:sz="4" w:space="0"/>
              <w:left w:val="single" w:color="auto" w:sz="4" w:space="0"/>
              <w:bottom w:val="single" w:color="auto" w:sz="4" w:space="0"/>
              <w:right w:val="single" w:color="auto" w:sz="4" w:space="0"/>
            </w:tcBorders>
          </w:tcPr>
          <w:p w14:paraId="4D1109B2">
            <w:pPr>
              <w:jc w:val="center"/>
              <w:rPr>
                <w:rFonts w:ascii="宋体" w:hAnsi="宋体" w:cs="宋体"/>
                <w:sz w:val="22"/>
                <w:szCs w:val="22"/>
              </w:rPr>
            </w:pPr>
            <w:r>
              <w:rPr>
                <w:rFonts w:hint="eastAsia" w:ascii="宋体" w:hAnsi="宋体" w:cs="宋体"/>
                <w:sz w:val="22"/>
                <w:szCs w:val="22"/>
              </w:rPr>
              <w:t>评分准则</w:t>
            </w:r>
          </w:p>
        </w:tc>
      </w:tr>
      <w:tr w14:paraId="491A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7EE52FE">
            <w:pPr>
              <w:jc w:val="center"/>
              <w:rPr>
                <w:rFonts w:ascii="宋体" w:hAnsi="宋体" w:cs="宋体"/>
                <w:sz w:val="22"/>
                <w:szCs w:val="22"/>
              </w:rPr>
            </w:pPr>
            <w:r>
              <w:rPr>
                <w:rFonts w:hint="eastAsia" w:ascii="宋体" w:hAnsi="宋体" w:cs="宋体"/>
                <w:sz w:val="22"/>
                <w:szCs w:val="22"/>
              </w:rPr>
              <w:t>1</w:t>
            </w:r>
          </w:p>
        </w:tc>
        <w:tc>
          <w:tcPr>
            <w:tcW w:w="1555" w:type="dxa"/>
            <w:tcBorders>
              <w:top w:val="single" w:color="auto" w:sz="4" w:space="0"/>
              <w:left w:val="single" w:color="auto" w:sz="4" w:space="0"/>
              <w:bottom w:val="single" w:color="auto" w:sz="4" w:space="0"/>
              <w:right w:val="single" w:color="auto" w:sz="4" w:space="0"/>
            </w:tcBorders>
            <w:vAlign w:val="center"/>
          </w:tcPr>
          <w:p w14:paraId="41557F16">
            <w:pPr>
              <w:jc w:val="center"/>
              <w:rPr>
                <w:rFonts w:ascii="宋体" w:hAnsi="宋体" w:cs="宋体"/>
                <w:sz w:val="22"/>
                <w:szCs w:val="22"/>
              </w:rPr>
            </w:pPr>
            <w:r>
              <w:rPr>
                <w:rFonts w:hint="eastAsia" w:ascii="宋体" w:hAnsi="宋体" w:cs="宋体"/>
                <w:sz w:val="22"/>
                <w:szCs w:val="22"/>
              </w:rPr>
              <w:t>诚信评价</w:t>
            </w:r>
          </w:p>
        </w:tc>
        <w:tc>
          <w:tcPr>
            <w:tcW w:w="475" w:type="dxa"/>
            <w:tcBorders>
              <w:top w:val="single" w:color="auto" w:sz="4" w:space="0"/>
              <w:left w:val="single" w:color="auto" w:sz="4" w:space="0"/>
              <w:bottom w:val="single" w:color="auto" w:sz="4" w:space="0"/>
              <w:right w:val="single" w:color="auto" w:sz="4" w:space="0"/>
            </w:tcBorders>
            <w:vAlign w:val="center"/>
          </w:tcPr>
          <w:p w14:paraId="0944546C">
            <w:pPr>
              <w:jc w:val="center"/>
              <w:rPr>
                <w:rFonts w:ascii="宋体" w:hAnsi="宋体" w:cs="宋体"/>
                <w:sz w:val="22"/>
                <w:szCs w:val="22"/>
              </w:rPr>
            </w:pPr>
            <w:r>
              <w:rPr>
                <w:rFonts w:hint="eastAsia" w:ascii="宋体" w:hAnsi="宋体" w:cs="宋体"/>
                <w:sz w:val="22"/>
                <w:szCs w:val="22"/>
              </w:rPr>
              <w:t>5</w:t>
            </w:r>
          </w:p>
        </w:tc>
        <w:tc>
          <w:tcPr>
            <w:tcW w:w="804" w:type="dxa"/>
            <w:tcBorders>
              <w:top w:val="single" w:color="auto" w:sz="4" w:space="0"/>
              <w:left w:val="single" w:color="auto" w:sz="4" w:space="0"/>
              <w:bottom w:val="single" w:color="auto" w:sz="4" w:space="0"/>
              <w:right w:val="single" w:color="auto" w:sz="4" w:space="0"/>
            </w:tcBorders>
            <w:vAlign w:val="center"/>
          </w:tcPr>
          <w:p w14:paraId="2A50DE3B">
            <w:pPr>
              <w:jc w:val="center"/>
              <w:rPr>
                <w:rFonts w:ascii="宋体" w:hAnsi="宋体" w:cs="宋体"/>
                <w:sz w:val="22"/>
                <w:szCs w:val="22"/>
              </w:rPr>
            </w:pPr>
            <w:r>
              <w:rPr>
                <w:rFonts w:hint="eastAsia" w:ascii="宋体" w:hAnsi="宋体" w:cs="宋体"/>
                <w:sz w:val="22"/>
                <w:szCs w:val="22"/>
              </w:rPr>
              <w:t>专家打分</w:t>
            </w:r>
          </w:p>
        </w:tc>
        <w:tc>
          <w:tcPr>
            <w:tcW w:w="4929" w:type="dxa"/>
            <w:tcBorders>
              <w:top w:val="single" w:color="auto" w:sz="4" w:space="0"/>
              <w:left w:val="single" w:color="auto" w:sz="4" w:space="0"/>
              <w:bottom w:val="single" w:color="auto" w:sz="4" w:space="0"/>
              <w:right w:val="single" w:color="auto" w:sz="4" w:space="0"/>
            </w:tcBorders>
          </w:tcPr>
          <w:p w14:paraId="5FE534B0">
            <w:pPr>
              <w:jc w:val="left"/>
              <w:rPr>
                <w:rFonts w:ascii="宋体" w:hAnsi="宋体" w:cs="宋体"/>
                <w:sz w:val="22"/>
                <w:szCs w:val="22"/>
              </w:rPr>
            </w:pPr>
            <w:r>
              <w:rPr>
                <w:rFonts w:hint="eastAsia" w:ascii="宋体" w:hAnsi="宋体" w:cs="宋体"/>
                <w:sz w:val="22"/>
                <w:szCs w:val="22"/>
              </w:rPr>
              <w:t>根据《深圳市财政委员会关于加强招投标评审环节诚信管理的通知》（深财购[2013]27号）的要求，投标人在参与政府采购活动中存在诚信相关问题的，本项不得分，未出现相关诚信问题的得满分。以深圳市政府采购中心供应商库中的处罚记录为准。投标人无需提供任何证明材料，由采购中心工作人员向评委会提供相关信息。</w:t>
            </w:r>
          </w:p>
        </w:tc>
      </w:tr>
    </w:tbl>
    <w:p w14:paraId="573CDCBA">
      <w:pPr>
        <w:spacing w:line="360" w:lineRule="exact"/>
        <w:jc w:val="left"/>
        <w:rPr>
          <w:rFonts w:ascii="宋体" w:hAnsi="宋体"/>
          <w:color w:val="000000"/>
          <w:szCs w:val="21"/>
        </w:rPr>
      </w:pPr>
      <w:bookmarkStart w:id="1" w:name="InsertEnd"/>
      <w:bookmarkEnd w:id="1"/>
    </w:p>
    <w:p w14:paraId="7E1B2760">
      <w:pPr>
        <w:spacing w:line="360" w:lineRule="exact"/>
        <w:jc w:val="left"/>
        <w:rPr>
          <w:rFonts w:ascii="宋体" w:hAnsi="宋体"/>
          <w:color w:val="000000"/>
          <w:szCs w:val="21"/>
        </w:rPr>
      </w:pPr>
      <w:r>
        <w:rPr>
          <w:rFonts w:hint="eastAsia" w:ascii="宋体" w:hAnsi="宋体"/>
          <w:color w:val="000000"/>
          <w:szCs w:val="21"/>
        </w:rPr>
        <w:t>说明：</w:t>
      </w:r>
    </w:p>
    <w:p w14:paraId="4702EC66">
      <w:pPr>
        <w:spacing w:line="360" w:lineRule="exact"/>
        <w:jc w:val="left"/>
        <w:rPr>
          <w:rFonts w:ascii="宋体" w:hAnsi="宋体"/>
          <w:color w:val="000000"/>
          <w:szCs w:val="21"/>
        </w:rPr>
      </w:pPr>
      <w:r>
        <w:rPr>
          <w:rFonts w:hint="eastAsia" w:ascii="宋体" w:hAnsi="宋体"/>
          <w:color w:val="000000"/>
          <w:szCs w:val="21"/>
        </w:rPr>
        <w:t>1、本评分表中每一栏的得分最高不得超过该项评审指标的分值。</w:t>
      </w:r>
    </w:p>
    <w:p w14:paraId="149C858D">
      <w:pPr>
        <w:spacing w:line="360" w:lineRule="exact"/>
        <w:jc w:val="left"/>
        <w:rPr>
          <w:rFonts w:ascii="宋体" w:hAnsi="宋体"/>
          <w:color w:val="000000"/>
          <w:szCs w:val="21"/>
        </w:rPr>
      </w:pPr>
      <w:r>
        <w:rPr>
          <w:rFonts w:hint="eastAsia" w:ascii="宋体" w:hAnsi="宋体"/>
          <w:color w:val="000000"/>
          <w:szCs w:val="21"/>
        </w:rPr>
        <w:t>2、表中要求提供相关计分证明文件的内容，投标文件中须明确加以说明，未按要求提供相关文件或说明不清楚的按不符合要求处理。</w:t>
      </w:r>
    </w:p>
    <w:p w14:paraId="405633E3">
      <w:pPr>
        <w:spacing w:line="440" w:lineRule="exact"/>
        <w:jc w:val="left"/>
        <w:rPr>
          <w:rFonts w:ascii="仿宋_GB2312" w:hAnsi="华文仿宋" w:eastAsia="仿宋_GB2312"/>
          <w:sz w:val="24"/>
        </w:rPr>
      </w:pPr>
    </w:p>
    <w:p w14:paraId="116DE4C6">
      <w:pPr>
        <w:spacing w:line="440" w:lineRule="exact"/>
        <w:jc w:val="left"/>
        <w:rPr>
          <w:rFonts w:ascii="仿宋_GB2312" w:hAnsi="华文仿宋" w:eastAsia="仿宋_GB2312"/>
          <w:sz w:val="24"/>
        </w:rPr>
      </w:pPr>
    </w:p>
    <w:p w14:paraId="761118BE">
      <w:pPr>
        <w:spacing w:line="440" w:lineRule="exact"/>
        <w:jc w:val="left"/>
        <w:rPr>
          <w:rFonts w:ascii="仿宋_GB2312" w:hAnsi="华文仿宋" w:eastAsia="仿宋_GB2312"/>
          <w:sz w:val="24"/>
        </w:rPr>
      </w:pPr>
    </w:p>
    <w:p w14:paraId="316F818A">
      <w:pPr>
        <w:spacing w:after="78"/>
        <w:outlineLvl w:val="0"/>
        <w:rPr>
          <w:rFonts w:ascii="宋体" w:hAnsi="宋体"/>
          <w:color w:val="FF0000"/>
          <w:sz w:val="40"/>
          <w:szCs w:val="40"/>
        </w:rPr>
      </w:pPr>
    </w:p>
    <w:p w14:paraId="1CF54734">
      <w:pPr>
        <w:spacing w:after="78"/>
        <w:jc w:val="center"/>
        <w:outlineLvl w:val="0"/>
        <w:rPr>
          <w:rFonts w:ascii="宋体" w:hAnsi="宋体"/>
          <w:color w:val="FF0000"/>
          <w:sz w:val="40"/>
          <w:szCs w:val="40"/>
        </w:rPr>
      </w:pPr>
      <w:r>
        <w:rPr>
          <w:rFonts w:hint="eastAsia" w:ascii="宋体" w:hAnsi="宋体"/>
          <w:color w:val="FF0000"/>
          <w:sz w:val="40"/>
          <w:szCs w:val="40"/>
        </w:rPr>
        <w:t>招标参数</w:t>
      </w:r>
    </w:p>
    <w:tbl>
      <w:tblPr>
        <w:tblStyle w:val="1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583"/>
        <w:gridCol w:w="2583"/>
        <w:gridCol w:w="2584"/>
      </w:tblGrid>
      <w:tr w14:paraId="03B3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90" w:type="dxa"/>
            <w:tcBorders>
              <w:top w:val="single" w:color="auto" w:sz="4" w:space="0"/>
              <w:left w:val="single" w:color="auto" w:sz="4" w:space="0"/>
              <w:bottom w:val="single" w:color="auto" w:sz="4" w:space="0"/>
              <w:right w:val="single" w:color="auto" w:sz="4" w:space="0"/>
            </w:tcBorders>
          </w:tcPr>
          <w:p w14:paraId="559940DF">
            <w:pPr>
              <w:spacing w:after="78"/>
              <w:jc w:val="center"/>
              <w:rPr>
                <w:rFonts w:ascii="宋体" w:hAnsi="宋体"/>
                <w:b/>
                <w:bCs/>
                <w:color w:val="000000"/>
                <w:kern w:val="0"/>
                <w:sz w:val="22"/>
                <w:szCs w:val="22"/>
              </w:rPr>
            </w:pPr>
            <w:r>
              <w:rPr>
                <w:rFonts w:hint="eastAsia" w:ascii="宋体" w:hAnsi="宋体"/>
                <w:b/>
                <w:bCs/>
                <w:color w:val="000000"/>
                <w:kern w:val="0"/>
                <w:sz w:val="22"/>
                <w:szCs w:val="22"/>
              </w:rPr>
              <w:t>项目名称</w:t>
            </w:r>
          </w:p>
        </w:tc>
        <w:tc>
          <w:tcPr>
            <w:tcW w:w="2583" w:type="dxa"/>
            <w:tcBorders>
              <w:top w:val="single" w:color="auto" w:sz="4" w:space="0"/>
              <w:left w:val="single" w:color="auto" w:sz="4" w:space="0"/>
              <w:bottom w:val="single" w:color="auto" w:sz="4" w:space="0"/>
              <w:right w:val="single" w:color="auto" w:sz="4" w:space="0"/>
            </w:tcBorders>
          </w:tcPr>
          <w:p w14:paraId="3B3F2275">
            <w:pPr>
              <w:spacing w:after="78"/>
              <w:rPr>
                <w:rFonts w:ascii="仿宋_GB2312" w:eastAsia="仿宋_GB2312"/>
                <w:color w:val="000000"/>
                <w:sz w:val="22"/>
                <w:szCs w:val="22"/>
              </w:rPr>
            </w:pPr>
            <w:r>
              <w:rPr>
                <w:rFonts w:hint="eastAsia"/>
                <w:color w:val="000000"/>
                <w:sz w:val="22"/>
                <w:szCs w:val="22"/>
              </w:rPr>
              <w:t>门禁系统运维服务项目</w:t>
            </w:r>
          </w:p>
        </w:tc>
        <w:tc>
          <w:tcPr>
            <w:tcW w:w="2583" w:type="dxa"/>
            <w:tcBorders>
              <w:top w:val="single" w:color="auto" w:sz="4" w:space="0"/>
              <w:left w:val="single" w:color="auto" w:sz="4" w:space="0"/>
              <w:bottom w:val="single" w:color="auto" w:sz="4" w:space="0"/>
              <w:right w:val="single" w:color="auto" w:sz="4" w:space="0"/>
            </w:tcBorders>
          </w:tcPr>
          <w:p w14:paraId="6B3A8498">
            <w:pPr>
              <w:spacing w:after="78"/>
              <w:jc w:val="center"/>
              <w:rPr>
                <w:color w:val="000000"/>
                <w:sz w:val="22"/>
                <w:szCs w:val="22"/>
              </w:rPr>
            </w:pPr>
            <w:r>
              <w:rPr>
                <w:rFonts w:hint="eastAsia"/>
                <w:b/>
                <w:bCs/>
                <w:color w:val="000000"/>
                <w:sz w:val="22"/>
                <w:szCs w:val="22"/>
              </w:rPr>
              <w:t>项目预算金额</w:t>
            </w:r>
          </w:p>
        </w:tc>
        <w:tc>
          <w:tcPr>
            <w:tcW w:w="2584" w:type="dxa"/>
            <w:tcBorders>
              <w:top w:val="single" w:color="auto" w:sz="4" w:space="0"/>
              <w:left w:val="single" w:color="auto" w:sz="4" w:space="0"/>
              <w:bottom w:val="single" w:color="auto" w:sz="4" w:space="0"/>
              <w:right w:val="single" w:color="auto" w:sz="4" w:space="0"/>
            </w:tcBorders>
          </w:tcPr>
          <w:p w14:paraId="74740055">
            <w:pPr>
              <w:spacing w:after="78"/>
              <w:rPr>
                <w:rFonts w:hint="eastAsia" w:eastAsia="宋体"/>
                <w:color w:val="000000"/>
                <w:sz w:val="22"/>
                <w:szCs w:val="22"/>
                <w:lang w:val="en-US" w:eastAsia="zh-CN"/>
              </w:rPr>
            </w:pPr>
            <w:r>
              <w:rPr>
                <w:rFonts w:hint="eastAsia"/>
                <w:color w:val="000000"/>
                <w:sz w:val="22"/>
                <w:szCs w:val="22"/>
              </w:rPr>
              <w:t>160000</w:t>
            </w:r>
            <w:r>
              <w:rPr>
                <w:rFonts w:hint="eastAsia"/>
                <w:color w:val="000000"/>
                <w:sz w:val="22"/>
                <w:szCs w:val="22"/>
                <w:lang w:val="en-US" w:eastAsia="zh-CN"/>
              </w:rPr>
              <w:t>元</w:t>
            </w:r>
          </w:p>
        </w:tc>
      </w:tr>
      <w:tr w14:paraId="008F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tcPr>
          <w:p w14:paraId="314815A9">
            <w:pPr>
              <w:spacing w:after="78"/>
              <w:jc w:val="center"/>
              <w:rPr>
                <w:rFonts w:ascii="宋体" w:hAnsi="宋体"/>
                <w:b/>
                <w:bCs/>
                <w:color w:val="000000"/>
                <w:kern w:val="0"/>
                <w:sz w:val="22"/>
                <w:szCs w:val="22"/>
              </w:rPr>
            </w:pPr>
            <w:r>
              <w:rPr>
                <w:rFonts w:hint="eastAsia" w:ascii="宋体" w:hAnsi="宋体"/>
                <w:b/>
                <w:bCs/>
                <w:color w:val="000000"/>
                <w:kern w:val="0"/>
                <w:sz w:val="22"/>
                <w:szCs w:val="22"/>
              </w:rPr>
              <w:t>用途</w:t>
            </w:r>
          </w:p>
        </w:tc>
        <w:tc>
          <w:tcPr>
            <w:tcW w:w="7750" w:type="dxa"/>
            <w:gridSpan w:val="3"/>
            <w:tcBorders>
              <w:top w:val="single" w:color="auto" w:sz="4" w:space="0"/>
              <w:left w:val="single" w:color="auto" w:sz="4" w:space="0"/>
              <w:bottom w:val="single" w:color="auto" w:sz="4" w:space="0"/>
              <w:right w:val="single" w:color="auto" w:sz="4" w:space="0"/>
            </w:tcBorders>
          </w:tcPr>
          <w:p w14:paraId="2C94148A">
            <w:pPr>
              <w:spacing w:line="360" w:lineRule="auto"/>
              <w:rPr>
                <w:rFonts w:ascii="宋体" w:hAnsi="宋体"/>
                <w:color w:val="000000"/>
                <w:kern w:val="0"/>
                <w:sz w:val="22"/>
                <w:szCs w:val="22"/>
              </w:rPr>
            </w:pPr>
            <w:r>
              <w:rPr>
                <w:rFonts w:hint="eastAsia" w:ascii="宋体" w:hAnsi="宋体"/>
                <w:color w:val="000000"/>
                <w:kern w:val="0"/>
                <w:sz w:val="22"/>
                <w:szCs w:val="22"/>
              </w:rPr>
              <w:t>保障医院门禁系统</w:t>
            </w:r>
            <w:r>
              <w:rPr>
                <w:rFonts w:hint="eastAsia" w:ascii="宋体" w:hAnsi="宋体" w:cs="宋体"/>
                <w:sz w:val="22"/>
                <w:szCs w:val="22"/>
              </w:rPr>
              <w:t>良好稳定运行</w:t>
            </w:r>
          </w:p>
        </w:tc>
      </w:tr>
      <w:tr w14:paraId="23C9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tcBorders>
              <w:top w:val="single" w:color="auto" w:sz="4" w:space="0"/>
              <w:left w:val="single" w:color="auto" w:sz="4" w:space="0"/>
              <w:bottom w:val="single" w:color="auto" w:sz="4" w:space="0"/>
              <w:right w:val="single" w:color="auto" w:sz="4" w:space="0"/>
            </w:tcBorders>
          </w:tcPr>
          <w:p w14:paraId="15E01E02">
            <w:pPr>
              <w:spacing w:after="78"/>
              <w:jc w:val="center"/>
              <w:rPr>
                <w:rFonts w:ascii="宋体" w:hAnsi="宋体"/>
                <w:b/>
                <w:bCs/>
                <w:color w:val="000000"/>
                <w:kern w:val="0"/>
                <w:sz w:val="22"/>
                <w:szCs w:val="22"/>
              </w:rPr>
            </w:pPr>
            <w:r>
              <w:rPr>
                <w:rFonts w:hint="eastAsia" w:ascii="微软雅黑" w:hAnsi="微软雅黑" w:eastAsia="微软雅黑" w:cs="微软雅黑"/>
                <w:b/>
                <w:bCs/>
                <w:color w:val="000000"/>
                <w:kern w:val="0"/>
                <w:sz w:val="22"/>
                <w:szCs w:val="22"/>
              </w:rPr>
              <w:t>★</w:t>
            </w:r>
            <w:r>
              <w:rPr>
                <w:rFonts w:hint="eastAsia" w:ascii="宋体" w:hAnsi="宋体"/>
                <w:b/>
                <w:bCs/>
                <w:color w:val="000000"/>
                <w:kern w:val="0"/>
                <w:sz w:val="22"/>
                <w:szCs w:val="22"/>
              </w:rPr>
              <w:t>服务内容</w:t>
            </w:r>
          </w:p>
        </w:tc>
        <w:tc>
          <w:tcPr>
            <w:tcW w:w="7750" w:type="dxa"/>
            <w:gridSpan w:val="3"/>
            <w:tcBorders>
              <w:top w:val="single" w:color="auto" w:sz="4" w:space="0"/>
              <w:left w:val="single" w:color="auto" w:sz="4" w:space="0"/>
              <w:bottom w:val="single" w:color="auto" w:sz="4" w:space="0"/>
              <w:right w:val="single" w:color="auto" w:sz="4" w:space="0"/>
            </w:tcBorders>
          </w:tcPr>
          <w:p w14:paraId="201A3BD9">
            <w:pPr>
              <w:numPr>
                <w:ilvl w:val="0"/>
                <w:numId w:val="1"/>
              </w:numPr>
              <w:spacing w:after="78"/>
              <w:rPr>
                <w:rFonts w:ascii="宋体" w:hAnsi="宋体" w:cs="宋体"/>
                <w:sz w:val="22"/>
                <w:szCs w:val="22"/>
              </w:rPr>
            </w:pPr>
            <w:r>
              <w:rPr>
                <w:rFonts w:hint="eastAsia" w:ascii="宋体" w:hAnsi="宋体" w:cs="宋体"/>
                <w:sz w:val="22"/>
                <w:szCs w:val="22"/>
              </w:rPr>
              <w:t>医院门禁设备管理维护服务，包括：</w:t>
            </w:r>
          </w:p>
          <w:tbl>
            <w:tblPr>
              <w:tblStyle w:val="19"/>
              <w:tblW w:w="6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2338"/>
              <w:gridCol w:w="1383"/>
              <w:gridCol w:w="1600"/>
            </w:tblGrid>
            <w:tr w14:paraId="5859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37D2930C">
                  <w:pPr>
                    <w:numPr>
                      <w:ilvl w:val="255"/>
                      <w:numId w:val="0"/>
                    </w:numPr>
                    <w:spacing w:after="78"/>
                    <w:jc w:val="center"/>
                    <w:rPr>
                      <w:rFonts w:ascii="宋体" w:hAnsi="宋体" w:cs="宋体"/>
                      <w:sz w:val="22"/>
                      <w:szCs w:val="22"/>
                    </w:rPr>
                  </w:pPr>
                  <w:r>
                    <w:rPr>
                      <w:rFonts w:hint="eastAsia" w:ascii="宋体" w:hAnsi="宋体" w:cs="宋体"/>
                      <w:sz w:val="22"/>
                      <w:szCs w:val="22"/>
                    </w:rPr>
                    <w:t>序号</w:t>
                  </w:r>
                </w:p>
              </w:tc>
              <w:tc>
                <w:tcPr>
                  <w:tcW w:w="2338" w:type="dxa"/>
                  <w:vAlign w:val="center"/>
                </w:tcPr>
                <w:p w14:paraId="6B320EA3">
                  <w:pPr>
                    <w:numPr>
                      <w:ilvl w:val="255"/>
                      <w:numId w:val="0"/>
                    </w:numPr>
                    <w:spacing w:after="78"/>
                    <w:jc w:val="center"/>
                    <w:rPr>
                      <w:rFonts w:ascii="宋体" w:hAnsi="宋体" w:cs="宋体"/>
                      <w:sz w:val="22"/>
                      <w:szCs w:val="22"/>
                    </w:rPr>
                  </w:pPr>
                  <w:r>
                    <w:rPr>
                      <w:rFonts w:hint="eastAsia" w:ascii="宋体" w:hAnsi="宋体" w:cs="宋体"/>
                      <w:sz w:val="22"/>
                      <w:szCs w:val="22"/>
                    </w:rPr>
                    <w:t>名称</w:t>
                  </w:r>
                </w:p>
              </w:tc>
              <w:tc>
                <w:tcPr>
                  <w:tcW w:w="1383" w:type="dxa"/>
                  <w:vAlign w:val="center"/>
                </w:tcPr>
                <w:p w14:paraId="2ECB30A4">
                  <w:pPr>
                    <w:numPr>
                      <w:ilvl w:val="255"/>
                      <w:numId w:val="0"/>
                    </w:numPr>
                    <w:spacing w:after="78"/>
                    <w:jc w:val="center"/>
                    <w:rPr>
                      <w:rFonts w:ascii="宋体" w:hAnsi="宋体" w:cs="宋体"/>
                      <w:sz w:val="22"/>
                      <w:szCs w:val="22"/>
                    </w:rPr>
                  </w:pPr>
                  <w:r>
                    <w:rPr>
                      <w:rFonts w:hint="eastAsia" w:ascii="宋体" w:hAnsi="宋体" w:cs="宋体"/>
                      <w:sz w:val="22"/>
                      <w:szCs w:val="22"/>
                    </w:rPr>
                    <w:t>单位</w:t>
                  </w:r>
                </w:p>
              </w:tc>
              <w:tc>
                <w:tcPr>
                  <w:tcW w:w="1600" w:type="dxa"/>
                  <w:vAlign w:val="center"/>
                </w:tcPr>
                <w:p w14:paraId="089BA0C1">
                  <w:pPr>
                    <w:numPr>
                      <w:ilvl w:val="255"/>
                      <w:numId w:val="0"/>
                    </w:numPr>
                    <w:spacing w:after="78"/>
                    <w:jc w:val="center"/>
                    <w:rPr>
                      <w:rFonts w:ascii="宋体" w:hAnsi="宋体" w:cs="宋体"/>
                      <w:sz w:val="22"/>
                      <w:szCs w:val="22"/>
                    </w:rPr>
                  </w:pPr>
                  <w:r>
                    <w:rPr>
                      <w:rFonts w:hint="eastAsia" w:ascii="宋体" w:hAnsi="宋体" w:cs="宋体"/>
                      <w:sz w:val="22"/>
                      <w:szCs w:val="22"/>
                    </w:rPr>
                    <w:t>数量</w:t>
                  </w:r>
                </w:p>
              </w:tc>
            </w:tr>
            <w:tr w14:paraId="62D3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61938203">
                  <w:pPr>
                    <w:numPr>
                      <w:ilvl w:val="255"/>
                      <w:numId w:val="0"/>
                    </w:numPr>
                    <w:spacing w:after="78"/>
                    <w:jc w:val="center"/>
                    <w:rPr>
                      <w:rFonts w:ascii="宋体" w:hAnsi="宋体" w:cs="宋体"/>
                      <w:sz w:val="22"/>
                      <w:szCs w:val="22"/>
                    </w:rPr>
                  </w:pPr>
                  <w:r>
                    <w:rPr>
                      <w:rFonts w:hint="eastAsia" w:ascii="宋体" w:hAnsi="宋体" w:cs="宋体"/>
                      <w:sz w:val="22"/>
                      <w:szCs w:val="22"/>
                    </w:rPr>
                    <w:t>1</w:t>
                  </w:r>
                </w:p>
              </w:tc>
              <w:tc>
                <w:tcPr>
                  <w:tcW w:w="2338" w:type="dxa"/>
                  <w:vAlign w:val="center"/>
                </w:tcPr>
                <w:p w14:paraId="06A962CD">
                  <w:pPr>
                    <w:numPr>
                      <w:ilvl w:val="255"/>
                      <w:numId w:val="0"/>
                    </w:numPr>
                    <w:spacing w:after="78"/>
                    <w:jc w:val="center"/>
                    <w:rPr>
                      <w:rFonts w:ascii="宋体" w:hAnsi="宋体" w:cs="宋体"/>
                      <w:sz w:val="22"/>
                      <w:szCs w:val="22"/>
                    </w:rPr>
                  </w:pPr>
                  <w:r>
                    <w:rPr>
                      <w:rFonts w:hint="eastAsia" w:ascii="宋体" w:hAnsi="宋体" w:cs="宋体"/>
                      <w:sz w:val="22"/>
                      <w:szCs w:val="22"/>
                    </w:rPr>
                    <w:t>服务器</w:t>
                  </w:r>
                </w:p>
              </w:tc>
              <w:tc>
                <w:tcPr>
                  <w:tcW w:w="1383" w:type="dxa"/>
                  <w:vAlign w:val="center"/>
                </w:tcPr>
                <w:p w14:paraId="7CC38D8F">
                  <w:pPr>
                    <w:numPr>
                      <w:ilvl w:val="255"/>
                      <w:numId w:val="0"/>
                    </w:numPr>
                    <w:spacing w:after="78"/>
                    <w:jc w:val="center"/>
                    <w:rPr>
                      <w:rFonts w:ascii="宋体" w:hAnsi="宋体" w:cs="宋体"/>
                      <w:sz w:val="22"/>
                      <w:szCs w:val="22"/>
                    </w:rPr>
                  </w:pPr>
                  <w:r>
                    <w:rPr>
                      <w:rFonts w:hint="eastAsia" w:ascii="宋体" w:hAnsi="宋体" w:cs="宋体"/>
                      <w:sz w:val="22"/>
                      <w:szCs w:val="22"/>
                    </w:rPr>
                    <w:t>台</w:t>
                  </w:r>
                </w:p>
              </w:tc>
              <w:tc>
                <w:tcPr>
                  <w:tcW w:w="1600" w:type="dxa"/>
                  <w:vAlign w:val="center"/>
                </w:tcPr>
                <w:p w14:paraId="2153DF79">
                  <w:pPr>
                    <w:numPr>
                      <w:ilvl w:val="255"/>
                      <w:numId w:val="0"/>
                    </w:numPr>
                    <w:spacing w:after="78"/>
                    <w:jc w:val="center"/>
                    <w:rPr>
                      <w:rFonts w:ascii="宋体" w:hAnsi="宋体" w:cs="宋体"/>
                      <w:sz w:val="22"/>
                      <w:szCs w:val="22"/>
                    </w:rPr>
                  </w:pPr>
                  <w:r>
                    <w:rPr>
                      <w:rFonts w:hint="eastAsia" w:ascii="宋体" w:hAnsi="宋体" w:cs="宋体"/>
                      <w:sz w:val="22"/>
                      <w:szCs w:val="22"/>
                    </w:rPr>
                    <w:t>1</w:t>
                  </w:r>
                </w:p>
              </w:tc>
            </w:tr>
            <w:tr w14:paraId="1E59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39804854">
                  <w:pPr>
                    <w:numPr>
                      <w:ilvl w:val="255"/>
                      <w:numId w:val="0"/>
                    </w:numPr>
                    <w:spacing w:after="78"/>
                    <w:jc w:val="center"/>
                    <w:rPr>
                      <w:rFonts w:ascii="宋体" w:hAnsi="宋体" w:cs="宋体"/>
                      <w:sz w:val="22"/>
                      <w:szCs w:val="22"/>
                    </w:rPr>
                  </w:pPr>
                  <w:r>
                    <w:rPr>
                      <w:rFonts w:hint="eastAsia" w:ascii="宋体" w:hAnsi="宋体" w:cs="宋体"/>
                      <w:sz w:val="22"/>
                      <w:szCs w:val="22"/>
                    </w:rPr>
                    <w:t>2</w:t>
                  </w:r>
                </w:p>
              </w:tc>
              <w:tc>
                <w:tcPr>
                  <w:tcW w:w="2338" w:type="dxa"/>
                  <w:vAlign w:val="center"/>
                </w:tcPr>
                <w:p w14:paraId="76325CCD">
                  <w:pPr>
                    <w:numPr>
                      <w:ilvl w:val="255"/>
                      <w:numId w:val="0"/>
                    </w:numPr>
                    <w:spacing w:after="78"/>
                    <w:jc w:val="center"/>
                    <w:rPr>
                      <w:rFonts w:ascii="宋体" w:hAnsi="宋体" w:cs="宋体"/>
                      <w:sz w:val="22"/>
                      <w:szCs w:val="22"/>
                    </w:rPr>
                  </w:pPr>
                  <w:r>
                    <w:rPr>
                      <w:rFonts w:hint="eastAsia" w:ascii="宋体" w:hAnsi="宋体" w:cs="宋体"/>
                      <w:sz w:val="22"/>
                      <w:szCs w:val="22"/>
                    </w:rPr>
                    <w:t>交换机</w:t>
                  </w:r>
                </w:p>
              </w:tc>
              <w:tc>
                <w:tcPr>
                  <w:tcW w:w="1383" w:type="dxa"/>
                  <w:vAlign w:val="center"/>
                </w:tcPr>
                <w:p w14:paraId="5DAE76F4">
                  <w:pPr>
                    <w:numPr>
                      <w:ilvl w:val="255"/>
                      <w:numId w:val="0"/>
                    </w:numPr>
                    <w:spacing w:after="78"/>
                    <w:jc w:val="center"/>
                    <w:rPr>
                      <w:rFonts w:ascii="宋体" w:hAnsi="宋体" w:cs="宋体"/>
                      <w:sz w:val="22"/>
                      <w:szCs w:val="22"/>
                    </w:rPr>
                  </w:pPr>
                  <w:r>
                    <w:rPr>
                      <w:rFonts w:hint="eastAsia" w:ascii="宋体" w:hAnsi="宋体" w:cs="宋体"/>
                      <w:sz w:val="22"/>
                      <w:szCs w:val="22"/>
                    </w:rPr>
                    <w:t>台</w:t>
                  </w:r>
                </w:p>
              </w:tc>
              <w:tc>
                <w:tcPr>
                  <w:tcW w:w="1600" w:type="dxa"/>
                  <w:vAlign w:val="center"/>
                </w:tcPr>
                <w:p w14:paraId="10B05B83">
                  <w:pPr>
                    <w:numPr>
                      <w:ilvl w:val="255"/>
                      <w:numId w:val="0"/>
                    </w:numPr>
                    <w:spacing w:after="78"/>
                    <w:jc w:val="center"/>
                    <w:rPr>
                      <w:rFonts w:ascii="宋体" w:hAnsi="宋体" w:cs="宋体"/>
                      <w:sz w:val="22"/>
                      <w:szCs w:val="22"/>
                    </w:rPr>
                  </w:pPr>
                  <w:r>
                    <w:rPr>
                      <w:rFonts w:hint="eastAsia" w:ascii="宋体" w:hAnsi="宋体" w:cs="宋体"/>
                      <w:sz w:val="22"/>
                      <w:szCs w:val="22"/>
                    </w:rPr>
                    <w:t>19</w:t>
                  </w:r>
                </w:p>
              </w:tc>
            </w:tr>
            <w:tr w14:paraId="0418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4567F580">
                  <w:pPr>
                    <w:numPr>
                      <w:ilvl w:val="255"/>
                      <w:numId w:val="0"/>
                    </w:numPr>
                    <w:spacing w:after="78"/>
                    <w:jc w:val="center"/>
                    <w:rPr>
                      <w:rFonts w:ascii="宋体" w:hAnsi="宋体" w:cs="宋体"/>
                      <w:sz w:val="22"/>
                      <w:szCs w:val="22"/>
                    </w:rPr>
                  </w:pPr>
                  <w:r>
                    <w:rPr>
                      <w:rFonts w:hint="eastAsia" w:ascii="宋体" w:hAnsi="宋体" w:cs="宋体"/>
                      <w:sz w:val="22"/>
                      <w:szCs w:val="22"/>
                    </w:rPr>
                    <w:t>3</w:t>
                  </w:r>
                </w:p>
              </w:tc>
              <w:tc>
                <w:tcPr>
                  <w:tcW w:w="2338" w:type="dxa"/>
                  <w:vAlign w:val="center"/>
                </w:tcPr>
                <w:p w14:paraId="4717DA72">
                  <w:pPr>
                    <w:numPr>
                      <w:ilvl w:val="255"/>
                      <w:numId w:val="0"/>
                    </w:numPr>
                    <w:spacing w:after="78"/>
                    <w:jc w:val="center"/>
                    <w:rPr>
                      <w:rFonts w:ascii="宋体" w:hAnsi="宋体" w:cs="宋体"/>
                      <w:sz w:val="22"/>
                      <w:szCs w:val="22"/>
                    </w:rPr>
                  </w:pPr>
                  <w:r>
                    <w:rPr>
                      <w:rFonts w:hint="eastAsia" w:ascii="宋体" w:hAnsi="宋体" w:cs="宋体"/>
                      <w:sz w:val="22"/>
                      <w:szCs w:val="22"/>
                    </w:rPr>
                    <w:t>门禁主机</w:t>
                  </w:r>
                </w:p>
              </w:tc>
              <w:tc>
                <w:tcPr>
                  <w:tcW w:w="1383" w:type="dxa"/>
                  <w:vAlign w:val="center"/>
                </w:tcPr>
                <w:p w14:paraId="7AE9427A">
                  <w:pPr>
                    <w:numPr>
                      <w:ilvl w:val="255"/>
                      <w:numId w:val="0"/>
                    </w:numPr>
                    <w:spacing w:after="78"/>
                    <w:jc w:val="center"/>
                    <w:rPr>
                      <w:rFonts w:ascii="宋体" w:hAnsi="宋体" w:cs="宋体"/>
                      <w:sz w:val="22"/>
                      <w:szCs w:val="22"/>
                    </w:rPr>
                  </w:pPr>
                  <w:r>
                    <w:rPr>
                      <w:rFonts w:hint="eastAsia" w:ascii="宋体" w:hAnsi="宋体" w:cs="宋体"/>
                      <w:sz w:val="22"/>
                      <w:szCs w:val="22"/>
                    </w:rPr>
                    <w:t>台</w:t>
                  </w:r>
                </w:p>
              </w:tc>
              <w:tc>
                <w:tcPr>
                  <w:tcW w:w="1600" w:type="dxa"/>
                  <w:vAlign w:val="center"/>
                </w:tcPr>
                <w:p w14:paraId="288527B5">
                  <w:pPr>
                    <w:numPr>
                      <w:ilvl w:val="255"/>
                      <w:numId w:val="0"/>
                    </w:numPr>
                    <w:spacing w:after="78"/>
                    <w:jc w:val="center"/>
                    <w:rPr>
                      <w:rFonts w:ascii="宋体" w:hAnsi="宋体" w:cs="宋体"/>
                      <w:sz w:val="22"/>
                      <w:szCs w:val="22"/>
                    </w:rPr>
                  </w:pPr>
                  <w:r>
                    <w:rPr>
                      <w:rFonts w:hint="eastAsia" w:ascii="宋体" w:hAnsi="宋体" w:cs="宋体"/>
                      <w:sz w:val="22"/>
                      <w:szCs w:val="22"/>
                    </w:rPr>
                    <w:t>197</w:t>
                  </w:r>
                </w:p>
              </w:tc>
            </w:tr>
            <w:tr w14:paraId="5227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103AF9F8">
                  <w:pPr>
                    <w:numPr>
                      <w:ilvl w:val="255"/>
                      <w:numId w:val="0"/>
                    </w:numPr>
                    <w:spacing w:after="78"/>
                    <w:jc w:val="center"/>
                    <w:rPr>
                      <w:rFonts w:ascii="宋体" w:hAnsi="宋体" w:cs="宋体"/>
                      <w:sz w:val="22"/>
                      <w:szCs w:val="22"/>
                    </w:rPr>
                  </w:pPr>
                  <w:r>
                    <w:rPr>
                      <w:rFonts w:hint="eastAsia" w:ascii="宋体" w:hAnsi="宋体" w:cs="宋体"/>
                      <w:sz w:val="22"/>
                      <w:szCs w:val="22"/>
                    </w:rPr>
                    <w:t>4</w:t>
                  </w:r>
                </w:p>
              </w:tc>
              <w:tc>
                <w:tcPr>
                  <w:tcW w:w="2338" w:type="dxa"/>
                  <w:vAlign w:val="center"/>
                </w:tcPr>
                <w:p w14:paraId="097BF8DF">
                  <w:pPr>
                    <w:numPr>
                      <w:ilvl w:val="255"/>
                      <w:numId w:val="0"/>
                    </w:numPr>
                    <w:spacing w:after="78"/>
                    <w:jc w:val="center"/>
                    <w:rPr>
                      <w:rFonts w:ascii="宋体" w:hAnsi="宋体" w:cs="宋体"/>
                      <w:sz w:val="22"/>
                      <w:szCs w:val="22"/>
                    </w:rPr>
                  </w:pPr>
                  <w:r>
                    <w:rPr>
                      <w:rFonts w:hint="eastAsia" w:ascii="宋体" w:hAnsi="宋体" w:cs="宋体"/>
                      <w:sz w:val="22"/>
                      <w:szCs w:val="22"/>
                    </w:rPr>
                    <w:t>门禁读卡器</w:t>
                  </w:r>
                </w:p>
              </w:tc>
              <w:tc>
                <w:tcPr>
                  <w:tcW w:w="1383" w:type="dxa"/>
                  <w:vAlign w:val="center"/>
                </w:tcPr>
                <w:p w14:paraId="5F0F06E1">
                  <w:pPr>
                    <w:numPr>
                      <w:ilvl w:val="255"/>
                      <w:numId w:val="0"/>
                    </w:numPr>
                    <w:spacing w:after="78"/>
                    <w:jc w:val="center"/>
                    <w:rPr>
                      <w:rFonts w:ascii="宋体" w:hAnsi="宋体" w:cs="宋体"/>
                      <w:sz w:val="22"/>
                      <w:szCs w:val="22"/>
                    </w:rPr>
                  </w:pPr>
                  <w:r>
                    <w:rPr>
                      <w:rFonts w:hint="eastAsia" w:ascii="宋体" w:hAnsi="宋体" w:cs="宋体"/>
                      <w:sz w:val="22"/>
                      <w:szCs w:val="22"/>
                    </w:rPr>
                    <w:t>台</w:t>
                  </w:r>
                </w:p>
              </w:tc>
              <w:tc>
                <w:tcPr>
                  <w:tcW w:w="1600" w:type="dxa"/>
                  <w:vAlign w:val="center"/>
                </w:tcPr>
                <w:p w14:paraId="01410B1D">
                  <w:pPr>
                    <w:numPr>
                      <w:ilvl w:val="255"/>
                      <w:numId w:val="0"/>
                    </w:numPr>
                    <w:spacing w:after="78"/>
                    <w:jc w:val="center"/>
                    <w:rPr>
                      <w:rFonts w:ascii="宋体" w:hAnsi="宋体" w:cs="宋体"/>
                      <w:sz w:val="22"/>
                      <w:szCs w:val="22"/>
                    </w:rPr>
                  </w:pPr>
                  <w:r>
                    <w:rPr>
                      <w:rFonts w:hint="eastAsia" w:ascii="宋体" w:hAnsi="宋体" w:cs="宋体"/>
                      <w:sz w:val="22"/>
                      <w:szCs w:val="22"/>
                    </w:rPr>
                    <w:t>859</w:t>
                  </w:r>
                </w:p>
              </w:tc>
            </w:tr>
            <w:tr w14:paraId="4A43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6FAC3887">
                  <w:pPr>
                    <w:numPr>
                      <w:ilvl w:val="255"/>
                      <w:numId w:val="0"/>
                    </w:numPr>
                    <w:spacing w:after="78"/>
                    <w:jc w:val="center"/>
                    <w:rPr>
                      <w:rFonts w:ascii="宋体" w:hAnsi="宋体" w:cs="宋体"/>
                      <w:sz w:val="22"/>
                      <w:szCs w:val="22"/>
                    </w:rPr>
                  </w:pPr>
                  <w:r>
                    <w:rPr>
                      <w:rFonts w:hint="eastAsia" w:ascii="宋体" w:hAnsi="宋体" w:cs="宋体"/>
                      <w:sz w:val="22"/>
                      <w:szCs w:val="22"/>
                    </w:rPr>
                    <w:t>5</w:t>
                  </w:r>
                </w:p>
              </w:tc>
              <w:tc>
                <w:tcPr>
                  <w:tcW w:w="2338" w:type="dxa"/>
                  <w:vAlign w:val="center"/>
                </w:tcPr>
                <w:p w14:paraId="39A58585">
                  <w:pPr>
                    <w:numPr>
                      <w:ilvl w:val="255"/>
                      <w:numId w:val="0"/>
                    </w:numPr>
                    <w:spacing w:after="78"/>
                    <w:jc w:val="center"/>
                    <w:rPr>
                      <w:rFonts w:ascii="宋体" w:hAnsi="宋体" w:cs="宋体"/>
                      <w:sz w:val="22"/>
                      <w:szCs w:val="22"/>
                    </w:rPr>
                  </w:pPr>
                  <w:r>
                    <w:rPr>
                      <w:rFonts w:hint="eastAsia" w:ascii="宋体" w:hAnsi="宋体" w:cs="宋体"/>
                      <w:sz w:val="22"/>
                      <w:szCs w:val="22"/>
                    </w:rPr>
                    <w:t>电子锁</w:t>
                  </w:r>
                </w:p>
              </w:tc>
              <w:tc>
                <w:tcPr>
                  <w:tcW w:w="1383" w:type="dxa"/>
                  <w:vAlign w:val="center"/>
                </w:tcPr>
                <w:p w14:paraId="1DD51EE1">
                  <w:pPr>
                    <w:numPr>
                      <w:ilvl w:val="255"/>
                      <w:numId w:val="0"/>
                    </w:numPr>
                    <w:spacing w:after="78"/>
                    <w:jc w:val="center"/>
                    <w:rPr>
                      <w:rFonts w:ascii="宋体" w:hAnsi="宋体" w:cs="宋体"/>
                      <w:sz w:val="22"/>
                      <w:szCs w:val="22"/>
                    </w:rPr>
                  </w:pPr>
                  <w:r>
                    <w:rPr>
                      <w:rFonts w:hint="eastAsia" w:ascii="宋体" w:hAnsi="宋体" w:cs="宋体"/>
                      <w:sz w:val="22"/>
                      <w:szCs w:val="22"/>
                    </w:rPr>
                    <w:t>把</w:t>
                  </w:r>
                </w:p>
              </w:tc>
              <w:tc>
                <w:tcPr>
                  <w:tcW w:w="1600" w:type="dxa"/>
                  <w:vAlign w:val="center"/>
                </w:tcPr>
                <w:p w14:paraId="08C95F38">
                  <w:pPr>
                    <w:numPr>
                      <w:ilvl w:val="255"/>
                      <w:numId w:val="0"/>
                    </w:numPr>
                    <w:spacing w:after="78"/>
                    <w:jc w:val="center"/>
                    <w:rPr>
                      <w:rFonts w:ascii="宋体" w:hAnsi="宋体" w:cs="宋体"/>
                      <w:sz w:val="22"/>
                      <w:szCs w:val="22"/>
                    </w:rPr>
                  </w:pPr>
                  <w:r>
                    <w:rPr>
                      <w:rFonts w:hint="eastAsia" w:ascii="宋体" w:hAnsi="宋体" w:cs="宋体"/>
                      <w:sz w:val="22"/>
                      <w:szCs w:val="22"/>
                    </w:rPr>
                    <w:t>676</w:t>
                  </w:r>
                </w:p>
              </w:tc>
            </w:tr>
            <w:tr w14:paraId="503E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0B83C5D0">
                  <w:pPr>
                    <w:numPr>
                      <w:ilvl w:val="255"/>
                      <w:numId w:val="0"/>
                    </w:numPr>
                    <w:spacing w:after="78"/>
                    <w:jc w:val="center"/>
                    <w:rPr>
                      <w:rFonts w:ascii="宋体" w:hAnsi="宋体" w:cs="宋体"/>
                      <w:sz w:val="22"/>
                      <w:szCs w:val="22"/>
                    </w:rPr>
                  </w:pPr>
                  <w:r>
                    <w:rPr>
                      <w:rFonts w:hint="eastAsia" w:ascii="宋体" w:hAnsi="宋体" w:cs="宋体"/>
                      <w:sz w:val="22"/>
                      <w:szCs w:val="22"/>
                    </w:rPr>
                    <w:t>6</w:t>
                  </w:r>
                </w:p>
              </w:tc>
              <w:tc>
                <w:tcPr>
                  <w:tcW w:w="2338" w:type="dxa"/>
                  <w:vAlign w:val="center"/>
                </w:tcPr>
                <w:p w14:paraId="0878BEED">
                  <w:pPr>
                    <w:numPr>
                      <w:ilvl w:val="255"/>
                      <w:numId w:val="0"/>
                    </w:numPr>
                    <w:spacing w:after="78"/>
                    <w:jc w:val="center"/>
                    <w:rPr>
                      <w:rFonts w:ascii="宋体" w:hAnsi="宋体" w:cs="宋体"/>
                      <w:sz w:val="22"/>
                      <w:szCs w:val="22"/>
                    </w:rPr>
                  </w:pPr>
                  <w:r>
                    <w:rPr>
                      <w:rFonts w:hint="eastAsia" w:ascii="宋体" w:hAnsi="宋体" w:cs="宋体"/>
                      <w:sz w:val="22"/>
                      <w:szCs w:val="22"/>
                    </w:rPr>
                    <w:t>身份信息识别产品</w:t>
                  </w:r>
                </w:p>
              </w:tc>
              <w:tc>
                <w:tcPr>
                  <w:tcW w:w="1383" w:type="dxa"/>
                  <w:vAlign w:val="center"/>
                </w:tcPr>
                <w:p w14:paraId="5F794B18">
                  <w:pPr>
                    <w:numPr>
                      <w:ilvl w:val="255"/>
                      <w:numId w:val="0"/>
                    </w:numPr>
                    <w:spacing w:after="78"/>
                    <w:jc w:val="center"/>
                    <w:rPr>
                      <w:rFonts w:ascii="宋体" w:hAnsi="宋体" w:cs="宋体"/>
                      <w:sz w:val="22"/>
                      <w:szCs w:val="22"/>
                    </w:rPr>
                  </w:pPr>
                  <w:r>
                    <w:rPr>
                      <w:rFonts w:hint="eastAsia" w:ascii="宋体" w:hAnsi="宋体" w:cs="宋体"/>
                      <w:sz w:val="22"/>
                      <w:szCs w:val="22"/>
                    </w:rPr>
                    <w:t>台</w:t>
                  </w:r>
                </w:p>
              </w:tc>
              <w:tc>
                <w:tcPr>
                  <w:tcW w:w="1600" w:type="dxa"/>
                  <w:vAlign w:val="center"/>
                </w:tcPr>
                <w:p w14:paraId="602AC7F7">
                  <w:pPr>
                    <w:numPr>
                      <w:ilvl w:val="255"/>
                      <w:numId w:val="0"/>
                    </w:numPr>
                    <w:spacing w:after="78"/>
                    <w:jc w:val="center"/>
                    <w:rPr>
                      <w:rFonts w:ascii="宋体" w:hAnsi="宋体" w:cs="宋体"/>
                      <w:sz w:val="22"/>
                      <w:szCs w:val="22"/>
                    </w:rPr>
                  </w:pPr>
                  <w:r>
                    <w:rPr>
                      <w:rFonts w:hint="eastAsia" w:ascii="宋体" w:hAnsi="宋体" w:cs="宋体"/>
                      <w:sz w:val="22"/>
                      <w:szCs w:val="22"/>
                    </w:rPr>
                    <w:t>8</w:t>
                  </w:r>
                </w:p>
              </w:tc>
            </w:tr>
          </w:tbl>
          <w:p w14:paraId="11ECE38E">
            <w:pPr>
              <w:spacing w:after="78"/>
              <w:rPr>
                <w:rFonts w:ascii="宋体" w:hAnsi="宋体" w:cs="宋体"/>
                <w:sz w:val="22"/>
                <w:szCs w:val="22"/>
              </w:rPr>
            </w:pPr>
          </w:p>
          <w:p w14:paraId="43BF57AB">
            <w:pPr>
              <w:numPr>
                <w:ilvl w:val="255"/>
                <w:numId w:val="0"/>
              </w:numPr>
              <w:spacing w:after="78"/>
              <w:rPr>
                <w:rFonts w:ascii="宋体" w:hAnsi="宋体" w:cs="宋体"/>
                <w:sz w:val="22"/>
                <w:szCs w:val="22"/>
              </w:rPr>
            </w:pPr>
            <w:r>
              <w:rPr>
                <w:rFonts w:hint="eastAsia" w:ascii="宋体" w:hAnsi="宋体" w:cs="宋体"/>
                <w:sz w:val="22"/>
                <w:szCs w:val="22"/>
              </w:rPr>
              <w:t>（二）协助建立卡片申领、发放、回收台账，离职人员需在 1 个工作日内完成注销，防止权限滥用；</w:t>
            </w:r>
          </w:p>
          <w:p w14:paraId="108E0EE3">
            <w:pPr>
              <w:numPr>
                <w:ilvl w:val="255"/>
                <w:numId w:val="0"/>
              </w:numPr>
              <w:spacing w:after="78"/>
              <w:rPr>
                <w:rFonts w:ascii="宋体" w:hAnsi="宋体" w:cs="宋体"/>
                <w:sz w:val="22"/>
                <w:szCs w:val="22"/>
              </w:rPr>
            </w:pPr>
            <w:r>
              <w:rPr>
                <w:rFonts w:hint="eastAsia" w:ascii="宋体" w:hAnsi="宋体" w:cs="宋体"/>
                <w:sz w:val="22"/>
                <w:szCs w:val="22"/>
              </w:rPr>
              <w:t>（三）协助科室门禁权限管理；</w:t>
            </w:r>
          </w:p>
          <w:p w14:paraId="171579A9">
            <w:pPr>
              <w:numPr>
                <w:ilvl w:val="255"/>
                <w:numId w:val="0"/>
              </w:numPr>
              <w:spacing w:after="78"/>
              <w:rPr>
                <w:rFonts w:ascii="宋体" w:hAnsi="宋体" w:cs="宋体"/>
                <w:sz w:val="22"/>
                <w:szCs w:val="22"/>
              </w:rPr>
            </w:pPr>
            <w:r>
              <w:rPr>
                <w:rFonts w:hint="eastAsia" w:ascii="宋体" w:hAnsi="宋体" w:cs="宋体"/>
                <w:sz w:val="22"/>
                <w:szCs w:val="22"/>
              </w:rPr>
              <w:t>（四）完成医院门禁设备故障维修工作；</w:t>
            </w:r>
          </w:p>
          <w:p w14:paraId="53F1F08B">
            <w:pPr>
              <w:numPr>
                <w:ilvl w:val="255"/>
                <w:numId w:val="0"/>
              </w:numPr>
              <w:spacing w:after="78"/>
              <w:rPr>
                <w:rFonts w:ascii="宋体" w:hAnsi="宋体" w:cs="宋体"/>
                <w:sz w:val="22"/>
                <w:szCs w:val="22"/>
              </w:rPr>
            </w:pPr>
            <w:r>
              <w:rPr>
                <w:rFonts w:hint="eastAsia" w:ascii="宋体" w:hAnsi="宋体" w:cs="宋体"/>
                <w:sz w:val="22"/>
                <w:szCs w:val="22"/>
              </w:rPr>
              <w:t>（五）其他日常运维工作协助。</w:t>
            </w:r>
          </w:p>
        </w:tc>
      </w:tr>
      <w:tr w14:paraId="4D1F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A25E668">
            <w:pPr>
              <w:widowControl/>
              <w:spacing w:after="78"/>
              <w:jc w:val="center"/>
              <w:rPr>
                <w:rFonts w:ascii="宋体" w:hAnsi="宋体"/>
                <w:b/>
                <w:bCs/>
                <w:color w:val="000000"/>
                <w:sz w:val="22"/>
                <w:szCs w:val="22"/>
              </w:rPr>
            </w:pPr>
            <w:r>
              <w:rPr>
                <w:rFonts w:hint="eastAsia" w:ascii="宋体" w:hAnsi="宋体"/>
                <w:b/>
                <w:bCs/>
                <w:color w:val="000000"/>
                <w:kern w:val="0"/>
                <w:sz w:val="22"/>
                <w:szCs w:val="22"/>
              </w:rPr>
              <w:t>商务参数</w:t>
            </w:r>
          </w:p>
        </w:tc>
        <w:tc>
          <w:tcPr>
            <w:tcW w:w="7750" w:type="dxa"/>
            <w:gridSpan w:val="3"/>
            <w:tcBorders>
              <w:top w:val="single" w:color="auto" w:sz="4" w:space="0"/>
              <w:left w:val="single" w:color="auto" w:sz="4" w:space="0"/>
              <w:bottom w:val="single" w:color="auto" w:sz="4" w:space="0"/>
              <w:right w:val="single" w:color="auto" w:sz="4" w:space="0"/>
            </w:tcBorders>
          </w:tcPr>
          <w:tbl>
            <w:tblPr>
              <w:tblStyle w:val="18"/>
              <w:tblW w:w="7766" w:type="dxa"/>
              <w:jc w:val="center"/>
              <w:tblLayout w:type="fixed"/>
              <w:tblCellMar>
                <w:top w:w="0" w:type="dxa"/>
                <w:left w:w="108" w:type="dxa"/>
                <w:bottom w:w="0" w:type="dxa"/>
                <w:right w:w="108" w:type="dxa"/>
              </w:tblCellMar>
            </w:tblPr>
            <w:tblGrid>
              <w:gridCol w:w="7766"/>
            </w:tblGrid>
            <w:tr w14:paraId="6056F9E1">
              <w:trPr>
                <w:jc w:val="center"/>
              </w:trPr>
              <w:tc>
                <w:tcPr>
                  <w:tcW w:w="7766" w:type="dxa"/>
                </w:tcPr>
                <w:tbl>
                  <w:tblPr>
                    <w:tblStyle w:val="18"/>
                    <w:tblpPr w:leftFromText="180" w:rightFromText="180" w:vertAnchor="text" w:horzAnchor="page" w:tblpX="135" w:tblpY="385"/>
                    <w:tblOverlap w:val="never"/>
                    <w:tblW w:w="7453"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30"/>
                    <w:gridCol w:w="791"/>
                    <w:gridCol w:w="5932"/>
                  </w:tblGrid>
                  <w:tr w14:paraId="249E43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50A48F">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7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704195">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59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0350252">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7354A8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730"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36770220">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w:t>
                        </w:r>
                      </w:p>
                    </w:tc>
                    <w:tc>
                      <w:tcPr>
                        <w:tcW w:w="791" w:type="dxa"/>
                        <w:vMerge w:val="restart"/>
                        <w:tcBorders>
                          <w:top w:val="nil"/>
                          <w:left w:val="nil"/>
                          <w:right w:val="single" w:color="auto" w:sz="8" w:space="0"/>
                        </w:tcBorders>
                        <w:tcMar>
                          <w:top w:w="0" w:type="dxa"/>
                          <w:left w:w="108" w:type="dxa"/>
                          <w:bottom w:w="0" w:type="dxa"/>
                          <w:right w:w="108" w:type="dxa"/>
                        </w:tcMar>
                        <w:vAlign w:val="center"/>
                      </w:tcPr>
                      <w:p w14:paraId="1D897B18">
                        <w:pPr>
                          <w:widowControl/>
                          <w:spacing w:before="100" w:beforeAutospacing="1" w:after="100" w:afterAutospacing="1"/>
                          <w:jc w:val="left"/>
                          <w:rPr>
                            <w:rFonts w:ascii="宋体" w:hAnsi="宋体" w:cs="宋体"/>
                            <w:b/>
                            <w:bCs/>
                            <w:kern w:val="0"/>
                          </w:rPr>
                        </w:pPr>
                        <w:r>
                          <w:rPr>
                            <w:rFonts w:hint="eastAsia" w:ascii="宋体" w:hAnsi="宋体" w:cs="宋体"/>
                            <w:b/>
                            <w:bCs/>
                            <w:kern w:val="0"/>
                          </w:rPr>
                          <w:t>服务要求</w:t>
                        </w:r>
                      </w:p>
                    </w:tc>
                    <w:tc>
                      <w:tcPr>
                        <w:tcW w:w="5932" w:type="dxa"/>
                        <w:tcBorders>
                          <w:top w:val="nil"/>
                          <w:left w:val="nil"/>
                          <w:bottom w:val="single" w:color="auto" w:sz="8" w:space="0"/>
                          <w:right w:val="single" w:color="auto" w:sz="8" w:space="0"/>
                        </w:tcBorders>
                        <w:tcMar>
                          <w:top w:w="0" w:type="dxa"/>
                          <w:left w:w="108" w:type="dxa"/>
                          <w:bottom w:w="0" w:type="dxa"/>
                          <w:right w:w="108" w:type="dxa"/>
                        </w:tcMar>
                      </w:tcPr>
                      <w:p w14:paraId="5299E365">
                        <w:pPr>
                          <w:widowControl/>
                          <w:spacing w:before="100" w:beforeAutospacing="1" w:after="100" w:afterAutospacing="1"/>
                          <w:jc w:val="left"/>
                          <w:rPr>
                            <w:rFonts w:ascii="宋体" w:hAnsi="宋体" w:cs="宋体"/>
                            <w:kern w:val="0"/>
                            <w:sz w:val="22"/>
                            <w:szCs w:val="22"/>
                          </w:rPr>
                        </w:pPr>
                        <w:r>
                          <w:rPr>
                            <w:rFonts w:hint="eastAsia" w:ascii="宋体" w:hAnsi="宋体" w:cs="宋体"/>
                            <w:kern w:val="0"/>
                            <w:sz w:val="22"/>
                            <w:szCs w:val="22"/>
                          </w:rPr>
                          <w:t>1.1自合同签订之日起一年。本项目为长期服务类项目，第一年为本次采购的中标服务期限，采购单位可根据项目需要和中标供应商的履约情况确定合同期限是否延长，合同一年一签，但最长不超过三十六个月。如采购人对中标供应商的履约情况不满意，采购人不再续约。</w:t>
                        </w:r>
                      </w:p>
                    </w:tc>
                  </w:tr>
                  <w:tr w14:paraId="0852C4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30" w:type="dxa"/>
                        <w:vMerge w:val="continue"/>
                        <w:tcBorders>
                          <w:left w:val="single" w:color="auto" w:sz="8" w:space="0"/>
                          <w:right w:val="single" w:color="auto" w:sz="8" w:space="0"/>
                        </w:tcBorders>
                        <w:vAlign w:val="center"/>
                      </w:tcPr>
                      <w:p w14:paraId="3F6A8F0D">
                        <w:pPr>
                          <w:widowControl/>
                          <w:jc w:val="left"/>
                          <w:rPr>
                            <w:rFonts w:ascii="宋体" w:hAnsi="宋体" w:cs="宋体"/>
                            <w:kern w:val="0"/>
                            <w:sz w:val="24"/>
                            <w:szCs w:val="24"/>
                          </w:rPr>
                        </w:pPr>
                      </w:p>
                    </w:tc>
                    <w:tc>
                      <w:tcPr>
                        <w:tcW w:w="791" w:type="dxa"/>
                        <w:vMerge w:val="continue"/>
                        <w:tcBorders>
                          <w:left w:val="nil"/>
                          <w:right w:val="single" w:color="auto" w:sz="8" w:space="0"/>
                        </w:tcBorders>
                        <w:vAlign w:val="center"/>
                      </w:tcPr>
                      <w:p w14:paraId="6C311CDF">
                        <w:pPr>
                          <w:widowControl/>
                          <w:spacing w:before="100" w:beforeAutospacing="1" w:after="100" w:afterAutospacing="1"/>
                          <w:jc w:val="left"/>
                          <w:rPr>
                            <w:rFonts w:ascii="宋体" w:hAnsi="宋体" w:cs="宋体"/>
                            <w:b/>
                            <w:bCs/>
                            <w:kern w:val="0"/>
                          </w:rPr>
                        </w:pPr>
                      </w:p>
                    </w:tc>
                    <w:tc>
                      <w:tcPr>
                        <w:tcW w:w="5932" w:type="dxa"/>
                        <w:tcBorders>
                          <w:top w:val="nil"/>
                          <w:left w:val="nil"/>
                          <w:bottom w:val="single" w:color="auto" w:sz="8" w:space="0"/>
                          <w:right w:val="single" w:color="auto" w:sz="8" w:space="0"/>
                        </w:tcBorders>
                        <w:tcMar>
                          <w:top w:w="0" w:type="dxa"/>
                          <w:left w:w="108" w:type="dxa"/>
                          <w:bottom w:w="0" w:type="dxa"/>
                          <w:right w:w="108" w:type="dxa"/>
                        </w:tcMar>
                      </w:tcPr>
                      <w:p w14:paraId="02B7DFE9">
                        <w:pPr>
                          <w:widowControl/>
                          <w:spacing w:before="100" w:beforeAutospacing="1" w:after="100" w:afterAutospacing="1"/>
                          <w:jc w:val="left"/>
                          <w:rPr>
                            <w:rFonts w:ascii="宋体" w:hAnsi="宋体" w:cs="宋体"/>
                            <w:kern w:val="0"/>
                            <w:sz w:val="22"/>
                            <w:szCs w:val="22"/>
                          </w:rPr>
                        </w:pPr>
                        <w:r>
                          <w:rPr>
                            <w:rFonts w:hint="eastAsia" w:ascii="宋体" w:hAnsi="宋体" w:cs="宋体"/>
                            <w:kern w:val="0"/>
                            <w:sz w:val="22"/>
                            <w:szCs w:val="22"/>
                          </w:rPr>
                          <w:t>1.2投标人应</w:t>
                        </w:r>
                        <w:r>
                          <w:rPr>
                            <w:rFonts w:hint="eastAsia" w:ascii="宋体" w:hAnsi="宋体" w:cs="宋体"/>
                            <w:color w:val="000000"/>
                            <w:kern w:val="0"/>
                            <w:sz w:val="22"/>
                            <w:szCs w:val="22"/>
                            <w:lang w:bidi="ar"/>
                          </w:rPr>
                          <w:t xml:space="preserve">派驻1名企业自有工作人员在我院驻场工作，要求有一年以上的门禁相关项目经验及良好的沟通协调能力，驻场人员须经我院同意后方能任命，未经我院同意，投标人不得单方面更换驻场服务人员。 </w:t>
                        </w:r>
                      </w:p>
                    </w:tc>
                  </w:tr>
                  <w:tr w14:paraId="6AB1BD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5" w:hRule="atLeast"/>
                    </w:trPr>
                    <w:tc>
                      <w:tcPr>
                        <w:tcW w:w="730" w:type="dxa"/>
                        <w:vMerge w:val="continue"/>
                        <w:tcBorders>
                          <w:left w:val="single" w:color="auto" w:sz="8" w:space="0"/>
                          <w:bottom w:val="single" w:color="auto" w:sz="4" w:space="0"/>
                          <w:right w:val="single" w:color="auto" w:sz="8" w:space="0"/>
                        </w:tcBorders>
                        <w:vAlign w:val="center"/>
                      </w:tcPr>
                      <w:p w14:paraId="4C109632">
                        <w:pPr>
                          <w:widowControl/>
                          <w:jc w:val="left"/>
                          <w:rPr>
                            <w:rFonts w:ascii="宋体" w:hAnsi="宋体" w:cs="宋体"/>
                            <w:kern w:val="0"/>
                            <w:sz w:val="24"/>
                            <w:szCs w:val="24"/>
                          </w:rPr>
                        </w:pPr>
                      </w:p>
                    </w:tc>
                    <w:tc>
                      <w:tcPr>
                        <w:tcW w:w="791" w:type="dxa"/>
                        <w:vMerge w:val="continue"/>
                        <w:tcBorders>
                          <w:left w:val="nil"/>
                          <w:bottom w:val="single" w:color="auto" w:sz="4" w:space="0"/>
                          <w:right w:val="single" w:color="auto" w:sz="8" w:space="0"/>
                        </w:tcBorders>
                        <w:vAlign w:val="center"/>
                      </w:tcPr>
                      <w:p w14:paraId="28D9170E">
                        <w:pPr>
                          <w:widowControl/>
                          <w:spacing w:before="100" w:beforeAutospacing="1" w:after="100" w:afterAutospacing="1"/>
                          <w:jc w:val="left"/>
                          <w:rPr>
                            <w:rFonts w:ascii="宋体" w:hAnsi="宋体" w:cs="宋体"/>
                            <w:b/>
                            <w:bCs/>
                            <w:kern w:val="0"/>
                          </w:rPr>
                        </w:pPr>
                      </w:p>
                    </w:tc>
                    <w:tc>
                      <w:tcPr>
                        <w:tcW w:w="5932" w:type="dxa"/>
                        <w:tcBorders>
                          <w:top w:val="nil"/>
                          <w:left w:val="nil"/>
                          <w:bottom w:val="single" w:color="auto" w:sz="4" w:space="0"/>
                          <w:right w:val="single" w:color="auto" w:sz="8" w:space="0"/>
                        </w:tcBorders>
                        <w:tcMar>
                          <w:top w:w="0" w:type="dxa"/>
                          <w:left w:w="108" w:type="dxa"/>
                          <w:bottom w:w="0" w:type="dxa"/>
                          <w:right w:w="108" w:type="dxa"/>
                        </w:tcMar>
                      </w:tcPr>
                      <w:p w14:paraId="069435F7">
                        <w:pPr>
                          <w:widowControl/>
                          <w:spacing w:before="100" w:beforeAutospacing="1" w:after="100" w:afterAutospacing="1"/>
                          <w:jc w:val="left"/>
                          <w:rPr>
                            <w:rFonts w:ascii="宋体" w:hAnsi="宋体" w:cs="宋体"/>
                            <w:kern w:val="0"/>
                            <w:sz w:val="22"/>
                            <w:szCs w:val="22"/>
                          </w:rPr>
                        </w:pPr>
                        <w:r>
                          <w:rPr>
                            <w:rFonts w:hint="eastAsia" w:ascii="宋体" w:hAnsi="宋体" w:cs="宋体"/>
                            <w:spacing w:val="-3"/>
                            <w:kern w:val="0"/>
                            <w:sz w:val="22"/>
                            <w:szCs w:val="22"/>
                          </w:rPr>
                          <w:t>1.3</w:t>
                        </w:r>
                        <w:r>
                          <w:rPr>
                            <w:rFonts w:hint="eastAsia" w:ascii="宋体" w:hAnsi="宋体" w:cs="宋体"/>
                            <w:kern w:val="0"/>
                            <w:sz w:val="22"/>
                            <w:szCs w:val="22"/>
                          </w:rPr>
                          <w:t>投标人</w:t>
                        </w:r>
                        <w:r>
                          <w:rPr>
                            <w:rFonts w:hint="eastAsia" w:ascii="宋体" w:hAnsi="宋体" w:cs="宋体"/>
                            <w:color w:val="000000"/>
                            <w:kern w:val="0"/>
                            <w:sz w:val="22"/>
                            <w:szCs w:val="22"/>
                            <w:lang w:bidi="ar"/>
                          </w:rPr>
                          <w:t>应根据本项目实际情况配备充足的技术人员、工具。</w:t>
                        </w:r>
                      </w:p>
                    </w:tc>
                  </w:tr>
                  <w:tr w14:paraId="3552D1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BB3A3F">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2</w:t>
                        </w:r>
                      </w:p>
                    </w:tc>
                    <w:tc>
                      <w:tcPr>
                        <w:tcW w:w="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1484CD">
                        <w:pPr>
                          <w:widowControl/>
                          <w:spacing w:before="100" w:beforeAutospacing="1" w:after="100" w:afterAutospacing="1"/>
                          <w:jc w:val="left"/>
                          <w:rPr>
                            <w:rFonts w:ascii="宋体" w:hAnsi="宋体" w:cs="宋体"/>
                            <w:b/>
                            <w:bCs/>
                            <w:kern w:val="0"/>
                          </w:rPr>
                        </w:pPr>
                        <w:r>
                          <w:rPr>
                            <w:rFonts w:hint="eastAsia" w:ascii="宋体" w:hAnsi="宋体" w:cs="宋体"/>
                            <w:b/>
                            <w:bCs/>
                            <w:kern w:val="0"/>
                          </w:rPr>
                          <w:t>服务方案</w:t>
                        </w:r>
                      </w:p>
                    </w:tc>
                    <w:tc>
                      <w:tcPr>
                        <w:tcW w:w="59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DD0EC5">
                        <w:pPr>
                          <w:widowControl/>
                          <w:jc w:val="left"/>
                          <w:rPr>
                            <w:rFonts w:ascii="宋体" w:hAnsi="宋体" w:cs="宋体"/>
                            <w:kern w:val="0"/>
                            <w:sz w:val="22"/>
                            <w:szCs w:val="22"/>
                          </w:rPr>
                        </w:pPr>
                        <w:r>
                          <w:rPr>
                            <w:rFonts w:hint="eastAsia" w:ascii="宋体" w:hAnsi="宋体" w:cs="宋体"/>
                            <w:kern w:val="0"/>
                            <w:sz w:val="22"/>
                            <w:szCs w:val="22"/>
                          </w:rPr>
                          <w:t>2.1投标人</w:t>
                        </w:r>
                        <w:r>
                          <w:rPr>
                            <w:rFonts w:hint="eastAsia" w:ascii="宋体" w:hAnsi="宋体" w:cs="宋体"/>
                            <w:color w:val="000000"/>
                            <w:kern w:val="0"/>
                            <w:sz w:val="22"/>
                            <w:szCs w:val="22"/>
                            <w:lang w:bidi="ar"/>
                          </w:rPr>
                          <w:t>应就本项目提供完善的服务方案，包括：服务规范、响应时间、应急措施等</w:t>
                        </w:r>
                      </w:p>
                    </w:tc>
                  </w:tr>
                  <w:tr w14:paraId="3EE90E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3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29DCC797">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3</w:t>
                        </w:r>
                      </w:p>
                    </w:tc>
                    <w:tc>
                      <w:tcPr>
                        <w:tcW w:w="79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2276F56">
                        <w:pPr>
                          <w:widowControl/>
                          <w:spacing w:before="100" w:beforeAutospacing="1" w:after="100" w:afterAutospacing="1"/>
                          <w:jc w:val="left"/>
                          <w:rPr>
                            <w:rFonts w:ascii="宋体" w:hAnsi="宋体" w:cs="宋体"/>
                            <w:b/>
                            <w:bCs/>
                            <w:kern w:val="0"/>
                          </w:rPr>
                        </w:pPr>
                        <w:r>
                          <w:rPr>
                            <w:rFonts w:hint="eastAsia" w:ascii="宋体" w:hAnsi="宋体" w:cs="宋体"/>
                            <w:b/>
                            <w:bCs/>
                            <w:kern w:val="0"/>
                          </w:rPr>
                          <w:t>备品备件</w:t>
                        </w:r>
                      </w:p>
                    </w:tc>
                    <w:tc>
                      <w:tcPr>
                        <w:tcW w:w="59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915E8E">
                        <w:pPr>
                          <w:widowControl/>
                          <w:spacing w:before="100" w:beforeAutospacing="1" w:after="100" w:afterAutospacing="1"/>
                          <w:jc w:val="left"/>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3.1投标人须提供足够的备件，在服务发生中断时，如果存在硬件设备及相关软件发生故障等情况，投标人应按照服务响应要求在修复时限内保质保量地排除故障、升级系统软件或更换故障设备。 </w:t>
                        </w:r>
                      </w:p>
                    </w:tc>
                  </w:tr>
                  <w:tr w14:paraId="28DB58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3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194DA764">
                        <w:pPr>
                          <w:widowControl/>
                          <w:spacing w:before="100" w:beforeAutospacing="1" w:after="100" w:afterAutospacing="1"/>
                          <w:jc w:val="left"/>
                          <w:rPr>
                            <w:rFonts w:ascii="宋体" w:hAnsi="宋体" w:cs="宋体"/>
                            <w:kern w:val="0"/>
                            <w:sz w:val="24"/>
                            <w:szCs w:val="24"/>
                          </w:rPr>
                        </w:pPr>
                      </w:p>
                    </w:tc>
                    <w:tc>
                      <w:tcPr>
                        <w:tcW w:w="79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B58250C">
                        <w:pPr>
                          <w:widowControl/>
                          <w:spacing w:before="100" w:beforeAutospacing="1" w:after="100" w:afterAutospacing="1"/>
                          <w:jc w:val="left"/>
                          <w:rPr>
                            <w:rFonts w:ascii="宋体" w:hAnsi="宋体" w:cs="宋体"/>
                            <w:b/>
                            <w:bCs/>
                            <w:kern w:val="0"/>
                          </w:rPr>
                        </w:pPr>
                      </w:p>
                    </w:tc>
                    <w:tc>
                      <w:tcPr>
                        <w:tcW w:w="59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41254C7">
                        <w:pPr>
                          <w:widowControl/>
                          <w:spacing w:before="100" w:beforeAutospacing="1" w:after="100" w:afterAutospacing="1"/>
                          <w:jc w:val="left"/>
                          <w:rPr>
                            <w:rFonts w:ascii="宋体" w:hAnsi="宋体" w:cs="宋体"/>
                            <w:color w:val="000000"/>
                            <w:kern w:val="0"/>
                            <w:sz w:val="22"/>
                            <w:szCs w:val="22"/>
                            <w:lang w:bidi="ar"/>
                          </w:rPr>
                        </w:pPr>
                        <w:r>
                          <w:rPr>
                            <w:rFonts w:hint="eastAsia" w:ascii="宋体" w:hAnsi="宋体" w:cs="宋体"/>
                            <w:color w:val="000000"/>
                            <w:kern w:val="0"/>
                            <w:sz w:val="22"/>
                            <w:szCs w:val="22"/>
                            <w:lang w:bidi="ar"/>
                          </w:rPr>
                          <w:t>3.2投标人维修养护过程中涉及材料及配件，须单独报价，经我院同意后由投标人代为采购并进行维修更换，不得另外收取维修服务费用。</w:t>
                        </w:r>
                      </w:p>
                    </w:tc>
                  </w:tr>
                  <w:tr w14:paraId="000F30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30" w:type="dxa"/>
                        <w:tcBorders>
                          <w:top w:val="single" w:color="auto" w:sz="4" w:space="0"/>
                          <w:left w:val="single" w:color="auto" w:sz="8" w:space="0"/>
                          <w:right w:val="single" w:color="auto" w:sz="8" w:space="0"/>
                        </w:tcBorders>
                        <w:tcMar>
                          <w:top w:w="0" w:type="dxa"/>
                          <w:left w:w="108" w:type="dxa"/>
                          <w:bottom w:w="0" w:type="dxa"/>
                          <w:right w:w="108" w:type="dxa"/>
                        </w:tcMar>
                        <w:vAlign w:val="center"/>
                      </w:tcPr>
                      <w:p w14:paraId="1EA60CE2">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4</w:t>
                        </w:r>
                      </w:p>
                    </w:tc>
                    <w:tc>
                      <w:tcPr>
                        <w:tcW w:w="791" w:type="dxa"/>
                        <w:tcBorders>
                          <w:top w:val="single" w:color="auto" w:sz="4" w:space="0"/>
                          <w:left w:val="nil"/>
                          <w:right w:val="single" w:color="auto" w:sz="8" w:space="0"/>
                        </w:tcBorders>
                        <w:tcMar>
                          <w:top w:w="0" w:type="dxa"/>
                          <w:left w:w="108" w:type="dxa"/>
                          <w:bottom w:w="0" w:type="dxa"/>
                          <w:right w:w="108" w:type="dxa"/>
                        </w:tcMar>
                        <w:vAlign w:val="center"/>
                      </w:tcPr>
                      <w:p w14:paraId="371C7DCA">
                        <w:pPr>
                          <w:widowControl/>
                          <w:spacing w:before="100" w:beforeAutospacing="1" w:after="100" w:afterAutospacing="1"/>
                          <w:jc w:val="left"/>
                          <w:rPr>
                            <w:rFonts w:ascii="宋体" w:hAnsi="宋体" w:cs="宋体"/>
                            <w:b/>
                            <w:bCs/>
                            <w:kern w:val="0"/>
                          </w:rPr>
                        </w:pPr>
                        <w:r>
                          <w:rPr>
                            <w:rFonts w:hint="eastAsia" w:ascii="宋体" w:hAnsi="宋体" w:cs="宋体"/>
                            <w:b/>
                            <w:bCs/>
                            <w:kern w:val="0"/>
                          </w:rPr>
                          <w:t>付款</w:t>
                        </w:r>
                      </w:p>
                    </w:tc>
                    <w:tc>
                      <w:tcPr>
                        <w:tcW w:w="5932"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4802830">
                        <w:pPr>
                          <w:pStyle w:val="33"/>
                          <w:ind w:firstLine="0" w:firstLineChars="0"/>
                          <w:rPr>
                            <w:rFonts w:ascii="宋体" w:hAnsi="宋体" w:cs="宋体"/>
                            <w:color w:val="000000"/>
                            <w:kern w:val="0"/>
                            <w:sz w:val="22"/>
                            <w:lang w:bidi="ar"/>
                          </w:rPr>
                        </w:pPr>
                        <w:r>
                          <w:rPr>
                            <w:rFonts w:hint="eastAsia" w:ascii="宋体" w:hAnsi="宋体" w:cs="宋体"/>
                            <w:color w:val="000000"/>
                            <w:kern w:val="0"/>
                            <w:sz w:val="22"/>
                            <w:lang w:bidi="ar"/>
                          </w:rPr>
                          <w:t>4.1、付款条件：</w:t>
                        </w:r>
                      </w:p>
                      <w:p w14:paraId="79001AE7">
                        <w:pPr>
                          <w:pStyle w:val="46"/>
                          <w:widowControl w:val="0"/>
                          <w:rPr>
                            <w:rFonts w:ascii="宋体" w:hAnsi="宋体" w:eastAsia="宋体" w:cs="宋体"/>
                            <w:sz w:val="22"/>
                            <w:szCs w:val="22"/>
                            <w:lang w:bidi="ar"/>
                          </w:rPr>
                        </w:pPr>
                        <w:r>
                          <w:rPr>
                            <w:rFonts w:hint="eastAsia" w:ascii="宋体" w:hAnsi="宋体" w:eastAsia="宋体" w:cs="宋体"/>
                            <w:sz w:val="22"/>
                            <w:szCs w:val="22"/>
                            <w:lang w:val="en-US" w:eastAsia="zh-CN" w:bidi="ar"/>
                          </w:rPr>
                          <w:t>第一期支付：在合同签订起6个月后，采购人对上述期限内维保服务进行验收，经甲方验收合格出具验收报告后，由中标人开具有效发票给采购人，采购人支付中标价的50%款项</w:t>
                        </w:r>
                        <w:r>
                          <w:rPr>
                            <w:rFonts w:hint="eastAsia" w:ascii="宋体" w:hAnsi="宋体" w:eastAsia="宋体" w:cs="宋体"/>
                            <w:sz w:val="22"/>
                            <w:szCs w:val="22"/>
                            <w:lang w:bidi="ar"/>
                          </w:rPr>
                          <w:t>；</w:t>
                        </w:r>
                      </w:p>
                      <w:p w14:paraId="0BE7B877">
                        <w:pPr>
                          <w:pStyle w:val="46"/>
                          <w:widowControl w:val="0"/>
                          <w:rPr>
                            <w:rFonts w:ascii="宋体" w:hAnsi="宋体" w:eastAsia="宋体" w:cs="宋体"/>
                            <w:sz w:val="22"/>
                            <w:szCs w:val="22"/>
                            <w:lang w:bidi="ar"/>
                          </w:rPr>
                        </w:pPr>
                        <w:r>
                          <w:rPr>
                            <w:rFonts w:hint="eastAsia" w:ascii="宋体" w:hAnsi="宋体" w:eastAsia="宋体" w:cs="宋体"/>
                            <w:sz w:val="22"/>
                            <w:szCs w:val="22"/>
                            <w:lang w:val="en-US" w:eastAsia="zh-CN" w:bidi="ar"/>
                          </w:rPr>
                          <w:t>第二期支付：</w:t>
                        </w:r>
                        <w:r>
                          <w:rPr>
                            <w:rFonts w:hint="eastAsia" w:ascii="宋体" w:hAnsi="宋体" w:eastAsia="宋体" w:cs="宋体"/>
                            <w:sz w:val="22"/>
                            <w:szCs w:val="22"/>
                            <w:lang w:bidi="ar"/>
                          </w:rPr>
                          <w:t>服务期满且</w:t>
                        </w:r>
                        <w:r>
                          <w:rPr>
                            <w:rFonts w:hint="eastAsia" w:ascii="宋体" w:hAnsi="宋体" w:eastAsia="宋体" w:cs="宋体"/>
                            <w:sz w:val="22"/>
                            <w:szCs w:val="22"/>
                            <w:lang w:val="en-US" w:eastAsia="zh-CN" w:bidi="ar"/>
                          </w:rPr>
                          <w:t>采购人对合同期内维保服务进行验收，采购人验收合格出具验收报告后</w:t>
                        </w:r>
                        <w:r>
                          <w:rPr>
                            <w:rFonts w:hint="eastAsia" w:ascii="宋体" w:hAnsi="宋体" w:eastAsia="宋体" w:cs="宋体"/>
                            <w:sz w:val="22"/>
                            <w:szCs w:val="22"/>
                            <w:lang w:bidi="ar"/>
                          </w:rPr>
                          <w:t>，</w:t>
                        </w:r>
                        <w:r>
                          <w:rPr>
                            <w:rFonts w:hint="eastAsia" w:ascii="宋体" w:hAnsi="宋体" w:eastAsia="宋体" w:cs="宋体"/>
                            <w:sz w:val="22"/>
                            <w:szCs w:val="22"/>
                            <w:lang w:val="en-US" w:eastAsia="zh-CN" w:bidi="ar"/>
                          </w:rPr>
                          <w:t>由中标人开具有效发票给采购人，采购人支付剩余的50%款项。</w:t>
                        </w:r>
                      </w:p>
                    </w:tc>
                  </w:tr>
                  <w:tr w14:paraId="4BBE37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3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6EDD6E8">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5</w:t>
                        </w:r>
                      </w:p>
                    </w:tc>
                    <w:tc>
                      <w:tcPr>
                        <w:tcW w:w="791"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5E04EBB0">
                        <w:pPr>
                          <w:widowControl/>
                          <w:spacing w:before="100" w:beforeAutospacing="1" w:after="100" w:afterAutospacing="1"/>
                          <w:jc w:val="left"/>
                          <w:rPr>
                            <w:rFonts w:ascii="宋体" w:hAnsi="宋体" w:cs="宋体"/>
                            <w:b/>
                            <w:bCs/>
                            <w:kern w:val="0"/>
                          </w:rPr>
                        </w:pPr>
                        <w:r>
                          <w:rPr>
                            <w:rFonts w:hint="eastAsia" w:ascii="宋体" w:hAnsi="宋体" w:cs="宋体"/>
                            <w:b/>
                            <w:bCs/>
                            <w:kern w:val="0"/>
                          </w:rPr>
                          <w:t>违约责任</w:t>
                        </w:r>
                      </w:p>
                    </w:tc>
                    <w:tc>
                      <w:tcPr>
                        <w:tcW w:w="59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8D1169">
                        <w:pPr>
                          <w:pStyle w:val="33"/>
                          <w:ind w:firstLine="0" w:firstLineChars="0"/>
                          <w:rPr>
                            <w:rFonts w:ascii="宋体" w:hAnsi="宋体" w:cs="宋体"/>
                            <w:color w:val="000000"/>
                            <w:kern w:val="0"/>
                            <w:sz w:val="22"/>
                            <w:lang w:bidi="ar"/>
                          </w:rPr>
                        </w:pPr>
                        <w:r>
                          <w:rPr>
                            <w:rFonts w:hint="eastAsia" w:ascii="宋体" w:hAnsi="宋体" w:cs="宋体"/>
                            <w:color w:val="000000"/>
                            <w:kern w:val="0"/>
                            <w:sz w:val="22"/>
                            <w:lang w:bidi="ar"/>
                          </w:rPr>
                          <w:t>5.1中标人在维保期内发生故障的，应在规定时间内响应，否则招标方有权委托第三方处理，产生的费用由中标人承担。</w:t>
                        </w:r>
                      </w:p>
                    </w:tc>
                  </w:tr>
                  <w:tr w14:paraId="1C92F4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30" w:type="dxa"/>
                        <w:vMerge w:val="continue"/>
                        <w:tcBorders>
                          <w:left w:val="single" w:color="auto" w:sz="4" w:space="0"/>
                          <w:right w:val="single" w:color="auto" w:sz="4" w:space="0"/>
                        </w:tcBorders>
                        <w:tcMar>
                          <w:top w:w="0" w:type="dxa"/>
                          <w:left w:w="108" w:type="dxa"/>
                          <w:bottom w:w="0" w:type="dxa"/>
                          <w:right w:w="108" w:type="dxa"/>
                        </w:tcMar>
                        <w:vAlign w:val="center"/>
                      </w:tcPr>
                      <w:p w14:paraId="7D9E273D">
                        <w:pPr>
                          <w:widowControl/>
                          <w:spacing w:before="100" w:beforeAutospacing="1" w:after="100" w:afterAutospacing="1"/>
                          <w:jc w:val="left"/>
                          <w:rPr>
                            <w:rFonts w:ascii="宋体" w:hAnsi="宋体" w:cs="宋体"/>
                            <w:kern w:val="0"/>
                            <w:sz w:val="24"/>
                            <w:szCs w:val="24"/>
                          </w:rPr>
                        </w:pPr>
                      </w:p>
                    </w:tc>
                    <w:tc>
                      <w:tcPr>
                        <w:tcW w:w="791" w:type="dxa"/>
                        <w:vMerge w:val="continue"/>
                        <w:tcBorders>
                          <w:left w:val="single" w:color="auto" w:sz="4" w:space="0"/>
                          <w:right w:val="single" w:color="auto" w:sz="4" w:space="0"/>
                        </w:tcBorders>
                        <w:tcMar>
                          <w:top w:w="0" w:type="dxa"/>
                          <w:left w:w="108" w:type="dxa"/>
                          <w:bottom w:w="0" w:type="dxa"/>
                          <w:right w:w="108" w:type="dxa"/>
                        </w:tcMar>
                        <w:vAlign w:val="center"/>
                      </w:tcPr>
                      <w:p w14:paraId="61C84ABC">
                        <w:pPr>
                          <w:widowControl/>
                          <w:spacing w:before="100" w:beforeAutospacing="1" w:after="100" w:afterAutospacing="1"/>
                          <w:jc w:val="left"/>
                          <w:rPr>
                            <w:rFonts w:ascii="宋体" w:hAnsi="宋体" w:cs="宋体"/>
                            <w:kern w:val="0"/>
                            <w:sz w:val="24"/>
                            <w:szCs w:val="24"/>
                          </w:rPr>
                        </w:pPr>
                      </w:p>
                    </w:tc>
                    <w:tc>
                      <w:tcPr>
                        <w:tcW w:w="59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1835DA">
                        <w:pPr>
                          <w:pStyle w:val="33"/>
                          <w:ind w:firstLine="0" w:firstLineChars="0"/>
                          <w:rPr>
                            <w:rFonts w:ascii="宋体" w:hAnsi="宋体" w:cs="宋体"/>
                            <w:kern w:val="0"/>
                            <w:sz w:val="22"/>
                          </w:rPr>
                        </w:pPr>
                        <w:r>
                          <w:rPr>
                            <w:rFonts w:hint="eastAsia" w:ascii="宋体" w:hAnsi="宋体" w:cs="宋体"/>
                            <w:sz w:val="22"/>
                          </w:rPr>
                          <w:t>5.2中标人超过两次未响应或者维修三次仍不能清除故障的，招标方有权解除本合同，并要求中标人支付本协议总额20%的违约金。</w:t>
                        </w:r>
                      </w:p>
                    </w:tc>
                  </w:tr>
                  <w:tr w14:paraId="2376A3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3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24128B8E">
                        <w:pPr>
                          <w:widowControl/>
                          <w:spacing w:before="100" w:beforeAutospacing="1" w:after="100" w:afterAutospacing="1"/>
                          <w:jc w:val="left"/>
                          <w:rPr>
                            <w:rFonts w:ascii="宋体" w:hAnsi="宋体" w:cs="宋体"/>
                            <w:kern w:val="0"/>
                            <w:sz w:val="24"/>
                            <w:szCs w:val="24"/>
                          </w:rPr>
                        </w:pPr>
                      </w:p>
                    </w:tc>
                    <w:tc>
                      <w:tcPr>
                        <w:tcW w:w="791"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E077EC0">
                        <w:pPr>
                          <w:widowControl/>
                          <w:spacing w:before="100" w:beforeAutospacing="1" w:after="100" w:afterAutospacing="1"/>
                          <w:jc w:val="left"/>
                          <w:rPr>
                            <w:rFonts w:ascii="宋体" w:hAnsi="宋体" w:cs="宋体"/>
                            <w:kern w:val="0"/>
                            <w:sz w:val="24"/>
                            <w:szCs w:val="24"/>
                          </w:rPr>
                        </w:pPr>
                      </w:p>
                    </w:tc>
                    <w:tc>
                      <w:tcPr>
                        <w:tcW w:w="59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51BA7E">
                        <w:pPr>
                          <w:widowControl/>
                          <w:jc w:val="left"/>
                          <w:rPr>
                            <w:rFonts w:ascii="宋体" w:hAnsi="宋体" w:cs="宋体"/>
                            <w:kern w:val="0"/>
                            <w:sz w:val="22"/>
                            <w:szCs w:val="22"/>
                          </w:rPr>
                        </w:pPr>
                        <w:r>
                          <w:rPr>
                            <w:rFonts w:hint="eastAsia" w:ascii="宋体" w:hAnsi="宋体" w:cs="宋体"/>
                            <w:sz w:val="22"/>
                            <w:szCs w:val="22"/>
                          </w:rPr>
                          <w:t>5.3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7383A9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92" w:hRule="atLeast"/>
                    </w:trPr>
                    <w:tc>
                      <w:tcPr>
                        <w:tcW w:w="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A26374">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6</w:t>
                        </w:r>
                      </w:p>
                    </w:tc>
                    <w:tc>
                      <w:tcPr>
                        <w:tcW w:w="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630B66">
                        <w:pPr>
                          <w:widowControl/>
                          <w:jc w:val="center"/>
                          <w:rPr>
                            <w:rFonts w:ascii="宋体" w:hAnsi="宋体" w:cs="宋体"/>
                            <w:kern w:val="0"/>
                            <w:sz w:val="24"/>
                            <w:szCs w:val="24"/>
                          </w:rPr>
                        </w:pPr>
                        <w:r>
                          <w:rPr>
                            <w:rFonts w:hint="eastAsia" w:ascii="宋体" w:hAnsi="宋体" w:cs="宋体"/>
                            <w:b/>
                            <w:bCs/>
                            <w:kern w:val="0"/>
                          </w:rPr>
                          <w:t>其他</w:t>
                        </w:r>
                      </w:p>
                    </w:tc>
                    <w:tc>
                      <w:tcPr>
                        <w:tcW w:w="59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DCBF4C">
                        <w:pPr>
                          <w:widowControl/>
                          <w:jc w:val="left"/>
                          <w:rPr>
                            <w:rFonts w:ascii="宋体" w:hAnsi="宋体" w:cs="宋体"/>
                            <w:kern w:val="0"/>
                            <w:sz w:val="22"/>
                            <w:szCs w:val="22"/>
                          </w:rPr>
                        </w:pPr>
                        <w:r>
                          <w:rPr>
                            <w:rFonts w:hint="eastAsia" w:ascii="宋体" w:hAnsi="宋体" w:cs="宋体"/>
                            <w:kern w:val="0"/>
                            <w:sz w:val="22"/>
                            <w:szCs w:val="22"/>
                          </w:rPr>
                          <w:t>6.1投标人应按其投标文件中的承诺，进行其他售后服务工作。</w:t>
                        </w:r>
                      </w:p>
                    </w:tc>
                  </w:tr>
                  <w:tr w14:paraId="498537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85" w:hRule="atLeast"/>
                    </w:trPr>
                    <w:tc>
                      <w:tcPr>
                        <w:tcW w:w="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46ED68">
                        <w:pPr>
                          <w:widowControl/>
                          <w:spacing w:before="100" w:beforeAutospacing="1" w:after="100" w:afterAutospacing="1"/>
                          <w:jc w:val="left"/>
                          <w:rPr>
                            <w:rFonts w:ascii="宋体" w:hAnsi="宋体" w:cs="宋体"/>
                            <w:kern w:val="0"/>
                            <w:sz w:val="24"/>
                            <w:szCs w:val="24"/>
                          </w:rPr>
                        </w:pPr>
                        <w:r>
                          <w:rPr>
                            <w:rFonts w:hint="eastAsia" w:ascii="宋体" w:hAnsi="宋体" w:cs="宋体"/>
                            <w:kern w:val="0"/>
                            <w:sz w:val="24"/>
                            <w:szCs w:val="24"/>
                          </w:rPr>
                          <w:t>7</w:t>
                        </w:r>
                      </w:p>
                    </w:tc>
                    <w:tc>
                      <w:tcPr>
                        <w:tcW w:w="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0EAA56">
                        <w:pPr>
                          <w:widowControl/>
                          <w:jc w:val="center"/>
                          <w:rPr>
                            <w:rFonts w:ascii="宋体" w:hAnsi="宋体" w:cs="宋体"/>
                            <w:b/>
                            <w:bCs/>
                            <w:kern w:val="0"/>
                            <w:sz w:val="22"/>
                            <w:szCs w:val="22"/>
                          </w:rPr>
                        </w:pPr>
                        <w:r>
                          <w:rPr>
                            <w:rFonts w:hint="eastAsia" w:ascii="宋体" w:hAnsi="宋体" w:cs="宋体"/>
                            <w:b/>
                            <w:bCs/>
                            <w:kern w:val="0"/>
                            <w:sz w:val="22"/>
                            <w:szCs w:val="22"/>
                          </w:rPr>
                          <w:t>人员要求</w:t>
                        </w:r>
                      </w:p>
                    </w:tc>
                    <w:tc>
                      <w:tcPr>
                        <w:tcW w:w="59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8846C7">
                        <w:pPr>
                          <w:pStyle w:val="14"/>
                          <w:widowControl/>
                          <w:spacing w:line="240" w:lineRule="auto"/>
                          <w:jc w:val="left"/>
                          <w:rPr>
                            <w:rFonts w:hint="eastAsia" w:ascii="宋体" w:hAnsi="宋体" w:cs="宋体"/>
                            <w:sz w:val="22"/>
                            <w:szCs w:val="22"/>
                          </w:rPr>
                        </w:pPr>
                        <w:r>
                          <w:rPr>
                            <w:rFonts w:hint="eastAsia" w:ascii="宋体" w:hAnsi="宋体" w:cs="宋体"/>
                            <w:sz w:val="22"/>
                            <w:szCs w:val="22"/>
                          </w:rPr>
                          <w:t>7.1项目负责人：不少于1人。</w:t>
                        </w:r>
                      </w:p>
                      <w:p w14:paraId="09A99351">
                        <w:pPr>
                          <w:pStyle w:val="14"/>
                          <w:widowControl/>
                          <w:spacing w:line="240" w:lineRule="auto"/>
                          <w:ind w:firstLine="440" w:firstLineChars="200"/>
                          <w:jc w:val="left"/>
                          <w:rPr>
                            <w:rFonts w:ascii="宋体" w:hAnsi="宋体" w:cs="宋体"/>
                            <w:kern w:val="0"/>
                            <w:sz w:val="22"/>
                            <w:szCs w:val="22"/>
                          </w:rPr>
                        </w:pPr>
                        <w:r>
                          <w:rPr>
                            <w:rFonts w:hint="eastAsia" w:ascii="宋体" w:hAnsi="宋体" w:cs="宋体"/>
                            <w:sz w:val="22"/>
                            <w:szCs w:val="22"/>
                          </w:rPr>
                          <w:t>项目技术人员：不少于2人。</w:t>
                        </w:r>
                      </w:p>
                    </w:tc>
                  </w:tr>
                </w:tbl>
                <w:p w14:paraId="06985084">
                  <w:pPr>
                    <w:spacing w:line="480" w:lineRule="auto"/>
                    <w:ind w:left="587" w:leftChars="192" w:hanging="184" w:hangingChars="88"/>
                    <w:contextualSpacing/>
                    <w:rPr>
                      <w:rFonts w:ascii="宋体" w:hAnsi="宋体"/>
                    </w:rPr>
                  </w:pPr>
                </w:p>
              </w:tc>
            </w:tr>
          </w:tbl>
          <w:p w14:paraId="53BA1E21">
            <w:pPr>
              <w:snapToGrid w:val="0"/>
              <w:spacing w:after="78"/>
              <w:jc w:val="left"/>
              <w:rPr>
                <w:rFonts w:ascii="宋体" w:hAnsi="宋体"/>
              </w:rPr>
            </w:pPr>
          </w:p>
        </w:tc>
      </w:tr>
      <w:tr w14:paraId="6B3F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724F423">
            <w:pPr>
              <w:widowControl/>
              <w:jc w:val="center"/>
              <w:rPr>
                <w:rFonts w:ascii="宋体" w:hAnsi="宋体"/>
                <w:b/>
                <w:bCs/>
                <w:color w:val="000000"/>
                <w:kern w:val="0"/>
                <w:sz w:val="22"/>
                <w:szCs w:val="22"/>
              </w:rPr>
            </w:pPr>
            <w:r>
              <w:rPr>
                <w:rFonts w:hint="eastAsia" w:ascii="宋体" w:hAnsi="宋体"/>
                <w:b/>
                <w:bCs/>
                <w:color w:val="000000"/>
                <w:kern w:val="0"/>
                <w:sz w:val="22"/>
                <w:szCs w:val="22"/>
              </w:rPr>
              <w:t>技术参数</w:t>
            </w:r>
          </w:p>
        </w:tc>
        <w:tc>
          <w:tcPr>
            <w:tcW w:w="7750" w:type="dxa"/>
            <w:gridSpan w:val="3"/>
            <w:tcBorders>
              <w:top w:val="single" w:color="auto" w:sz="4" w:space="0"/>
              <w:left w:val="single" w:color="auto" w:sz="4" w:space="0"/>
              <w:bottom w:val="single" w:color="auto" w:sz="4" w:space="0"/>
              <w:right w:val="single" w:color="auto" w:sz="4" w:space="0"/>
            </w:tcBorders>
          </w:tcPr>
          <w:p w14:paraId="22A46161">
            <w:pPr>
              <w:numPr>
                <w:ilvl w:val="255"/>
                <w:numId w:val="0"/>
              </w:numPr>
              <w:spacing w:after="78"/>
              <w:rPr>
                <w:rFonts w:ascii="宋体" w:hAnsi="宋体" w:cs="宋体"/>
                <w:sz w:val="22"/>
                <w:szCs w:val="22"/>
              </w:rPr>
            </w:pPr>
            <w:r>
              <w:rPr>
                <w:rFonts w:hint="eastAsia" w:ascii="宋体" w:hAnsi="宋体" w:cs="宋体"/>
                <w:sz w:val="22"/>
                <w:szCs w:val="22"/>
              </w:rPr>
              <w:t>（一）设备全生命周期管理维护服务</w:t>
            </w:r>
          </w:p>
          <w:p w14:paraId="215A8709">
            <w:pPr>
              <w:numPr>
                <w:ilvl w:val="255"/>
                <w:numId w:val="0"/>
              </w:numPr>
              <w:spacing w:after="78"/>
              <w:rPr>
                <w:rFonts w:ascii="宋体" w:hAnsi="宋体" w:cs="宋体"/>
                <w:sz w:val="22"/>
                <w:szCs w:val="22"/>
              </w:rPr>
            </w:pPr>
            <w:r>
              <w:rPr>
                <w:rFonts w:hint="eastAsia" w:ascii="宋体" w:hAnsi="宋体" w:cs="宋体"/>
                <w:sz w:val="22"/>
                <w:szCs w:val="22"/>
              </w:rPr>
              <w:t>1、设备清单及管理基线：服务商需对以下设备建立动态管理台账，明确设备型号、安装位置、启用时间、维保期限、技术参数等核心信息，实现 “一机一档” 精细化管理。</w:t>
            </w:r>
          </w:p>
          <w:p w14:paraId="58F20FEE">
            <w:pPr>
              <w:numPr>
                <w:ilvl w:val="255"/>
                <w:numId w:val="0"/>
              </w:numPr>
              <w:spacing w:after="78"/>
              <w:rPr>
                <w:rFonts w:ascii="宋体" w:hAnsi="宋体" w:cs="宋体"/>
                <w:sz w:val="22"/>
                <w:szCs w:val="22"/>
              </w:rPr>
            </w:pPr>
            <w:r>
              <w:rPr>
                <w:rFonts w:hint="eastAsia" w:ascii="宋体" w:hAnsi="宋体" w:cs="宋体"/>
                <w:sz w:val="22"/>
                <w:szCs w:val="22"/>
              </w:rPr>
              <w:t>2、周期性巡检服务：制定分级巡检计划并留存完整记录：</w:t>
            </w:r>
          </w:p>
          <w:p w14:paraId="717502FF">
            <w:pPr>
              <w:numPr>
                <w:ilvl w:val="255"/>
                <w:numId w:val="0"/>
              </w:numPr>
              <w:spacing w:after="78"/>
              <w:rPr>
                <w:rFonts w:ascii="宋体" w:hAnsi="宋体" w:cs="宋体"/>
                <w:sz w:val="22"/>
                <w:szCs w:val="22"/>
              </w:rPr>
            </w:pPr>
            <w:r>
              <w:rPr>
                <w:rFonts w:hint="eastAsia" w:ascii="宋体" w:hAnsi="宋体" w:cs="宋体"/>
                <w:sz w:val="22"/>
                <w:szCs w:val="22"/>
              </w:rPr>
              <w:t>3、服务器：每月 1 次深度巡检，涵盖系统日志分析、负载监控、数据备份校验，确保与北京时间偏差≤10 秒。</w:t>
            </w:r>
          </w:p>
          <w:p w14:paraId="183B4B01">
            <w:pPr>
              <w:numPr>
                <w:ilvl w:val="255"/>
                <w:numId w:val="0"/>
              </w:numPr>
              <w:spacing w:after="78"/>
              <w:rPr>
                <w:rFonts w:ascii="宋体" w:hAnsi="宋体" w:cs="宋体"/>
                <w:sz w:val="22"/>
                <w:szCs w:val="22"/>
              </w:rPr>
            </w:pPr>
            <w:r>
              <w:rPr>
                <w:rFonts w:hint="eastAsia" w:ascii="宋体" w:hAnsi="宋体" w:cs="宋体"/>
                <w:sz w:val="22"/>
                <w:szCs w:val="22"/>
              </w:rPr>
              <w:t>4、交换机：每两周 1 次巡检，测试网络连通性、端口状态及数据传输稳定性，保障系统通信无丢包。</w:t>
            </w:r>
          </w:p>
          <w:p w14:paraId="3D7C6EBF">
            <w:pPr>
              <w:numPr>
                <w:ilvl w:val="255"/>
                <w:numId w:val="0"/>
              </w:numPr>
              <w:spacing w:after="78"/>
              <w:rPr>
                <w:rFonts w:ascii="宋体" w:hAnsi="宋体" w:cs="宋体"/>
                <w:sz w:val="22"/>
                <w:szCs w:val="22"/>
              </w:rPr>
            </w:pPr>
            <w:r>
              <w:rPr>
                <w:rFonts w:hint="eastAsia" w:ascii="宋体" w:hAnsi="宋体" w:cs="宋体"/>
                <w:sz w:val="22"/>
                <w:szCs w:val="22"/>
              </w:rPr>
              <w:t>5、▲终端设备（门禁主机、读卡器、电子锁、身份识别产品）：每月开展 1 次全覆盖巡检，重点排查读卡失灵、锁体卡顿、线路松动、识别异常等问题，确保一级管控区域设备双重认证功能正常（需提供盖有公章的承诺函）。</w:t>
            </w:r>
          </w:p>
          <w:p w14:paraId="42E65B7D">
            <w:pPr>
              <w:numPr>
                <w:ilvl w:val="255"/>
                <w:numId w:val="0"/>
              </w:numPr>
              <w:spacing w:after="78"/>
              <w:rPr>
                <w:rFonts w:ascii="宋体" w:hAnsi="宋体" w:cs="宋体"/>
                <w:sz w:val="22"/>
                <w:szCs w:val="22"/>
              </w:rPr>
            </w:pPr>
            <w:r>
              <w:rPr>
                <w:rFonts w:hint="eastAsia" w:ascii="宋体" w:hAnsi="宋体" w:cs="宋体"/>
                <w:sz w:val="22"/>
                <w:szCs w:val="22"/>
              </w:rPr>
              <w:t>6、供电系统：每季度 1 次专项检查，验证专用供电回路稳定性及备用电源性能，确保断电后门禁系统连续运行≥48 小时。</w:t>
            </w:r>
          </w:p>
          <w:p w14:paraId="6FDCC139">
            <w:pPr>
              <w:numPr>
                <w:ilvl w:val="255"/>
                <w:numId w:val="0"/>
              </w:numPr>
              <w:spacing w:after="78"/>
              <w:rPr>
                <w:rFonts w:ascii="宋体" w:hAnsi="宋体" w:cs="宋体"/>
                <w:sz w:val="22"/>
                <w:szCs w:val="22"/>
              </w:rPr>
            </w:pPr>
            <w:r>
              <w:rPr>
                <w:rFonts w:hint="eastAsia" w:ascii="宋体" w:hAnsi="宋体" w:cs="宋体"/>
                <w:sz w:val="22"/>
                <w:szCs w:val="22"/>
              </w:rPr>
              <w:t>（二）卡片全流程服务</w:t>
            </w:r>
          </w:p>
          <w:p w14:paraId="46831E2C">
            <w:pPr>
              <w:numPr>
                <w:ilvl w:val="255"/>
                <w:numId w:val="0"/>
              </w:numPr>
              <w:spacing w:after="78"/>
              <w:rPr>
                <w:rFonts w:ascii="宋体" w:hAnsi="宋体" w:cs="宋体"/>
                <w:sz w:val="22"/>
                <w:szCs w:val="22"/>
              </w:rPr>
            </w:pPr>
            <w:r>
              <w:rPr>
                <w:rFonts w:hint="eastAsia" w:ascii="宋体" w:hAnsi="宋体" w:cs="宋体"/>
                <w:sz w:val="22"/>
                <w:szCs w:val="22"/>
              </w:rPr>
              <w:t>1、标准化制卡服务：建立 “申请 - 核验 - 制作 - 交付” 闭环流程，明确响应时限：</w:t>
            </w:r>
          </w:p>
          <w:p w14:paraId="109A4B31">
            <w:pPr>
              <w:numPr>
                <w:ilvl w:val="255"/>
                <w:numId w:val="0"/>
              </w:numPr>
              <w:spacing w:after="78"/>
              <w:rPr>
                <w:rFonts w:ascii="宋体" w:hAnsi="宋体" w:cs="宋体"/>
                <w:sz w:val="22"/>
                <w:szCs w:val="22"/>
              </w:rPr>
            </w:pPr>
            <w:r>
              <w:rPr>
                <w:rFonts w:hint="eastAsia" w:ascii="宋体" w:hAnsi="宋体" w:cs="宋体"/>
                <w:sz w:val="22"/>
                <w:szCs w:val="22"/>
              </w:rPr>
              <w:t>2、新卡制作：接收科室合规申请后，4 个工作日内完成信息录入、卡片制作及交付。</w:t>
            </w:r>
          </w:p>
          <w:p w14:paraId="1D155243">
            <w:pPr>
              <w:numPr>
                <w:ilvl w:val="255"/>
                <w:numId w:val="0"/>
              </w:numPr>
              <w:spacing w:after="78"/>
              <w:rPr>
                <w:rFonts w:ascii="宋体" w:hAnsi="宋体" w:cs="宋体"/>
                <w:sz w:val="22"/>
                <w:szCs w:val="22"/>
              </w:rPr>
            </w:pPr>
            <w:r>
              <w:rPr>
                <w:rFonts w:hint="eastAsia" w:ascii="宋体" w:hAnsi="宋体" w:cs="宋体"/>
                <w:sz w:val="22"/>
                <w:szCs w:val="22"/>
              </w:rPr>
              <w:t>3、信息更新：因人员岗位调整等需更新卡片内容的，2 个工作日内完成处理。</w:t>
            </w:r>
          </w:p>
          <w:p w14:paraId="2B080F4C">
            <w:pPr>
              <w:numPr>
                <w:ilvl w:val="255"/>
                <w:numId w:val="0"/>
              </w:numPr>
              <w:spacing w:after="78"/>
              <w:rPr>
                <w:rFonts w:ascii="宋体" w:hAnsi="宋体" w:cs="宋体"/>
                <w:sz w:val="22"/>
                <w:szCs w:val="22"/>
              </w:rPr>
            </w:pPr>
            <w:r>
              <w:rPr>
                <w:rFonts w:hint="eastAsia" w:ascii="宋体" w:hAnsi="宋体" w:cs="宋体"/>
                <w:sz w:val="22"/>
                <w:szCs w:val="22"/>
              </w:rPr>
              <w:t>4、故障卡片处置：设立专用响应通道，接到消磁、损坏、信息错乱等故障反馈后：</w:t>
            </w:r>
          </w:p>
          <w:p w14:paraId="146055DE">
            <w:pPr>
              <w:numPr>
                <w:ilvl w:val="255"/>
                <w:numId w:val="0"/>
              </w:numPr>
              <w:spacing w:after="78"/>
              <w:rPr>
                <w:rFonts w:ascii="宋体" w:hAnsi="宋体" w:cs="宋体"/>
                <w:sz w:val="22"/>
                <w:szCs w:val="22"/>
              </w:rPr>
            </w:pPr>
            <w:r>
              <w:rPr>
                <w:rFonts w:hint="eastAsia" w:ascii="宋体" w:hAnsi="宋体" w:cs="宋体"/>
                <w:sz w:val="22"/>
                <w:szCs w:val="22"/>
              </w:rPr>
              <w:t>5、常规故障：1 个工作日内完成检测与修复，无法修复的即时更换。</w:t>
            </w:r>
          </w:p>
          <w:p w14:paraId="18201CEE">
            <w:pPr>
              <w:numPr>
                <w:ilvl w:val="255"/>
                <w:numId w:val="0"/>
              </w:numPr>
              <w:spacing w:after="78"/>
              <w:rPr>
                <w:rFonts w:ascii="宋体" w:hAnsi="宋体" w:cs="宋体"/>
                <w:sz w:val="22"/>
                <w:szCs w:val="22"/>
              </w:rPr>
            </w:pPr>
            <w:r>
              <w:rPr>
                <w:rFonts w:hint="eastAsia" w:ascii="宋体" w:hAnsi="宋体" w:cs="宋体"/>
                <w:sz w:val="22"/>
                <w:szCs w:val="22"/>
              </w:rPr>
              <w:t>6、紧急需求：2 小时内提供临时替代方案并启动修复流程。</w:t>
            </w:r>
          </w:p>
          <w:p w14:paraId="031D2D45">
            <w:pPr>
              <w:numPr>
                <w:ilvl w:val="255"/>
                <w:numId w:val="0"/>
              </w:numPr>
              <w:spacing w:after="78"/>
              <w:rPr>
                <w:rFonts w:ascii="宋体" w:hAnsi="宋体" w:cs="宋体"/>
                <w:sz w:val="22"/>
                <w:szCs w:val="22"/>
              </w:rPr>
            </w:pPr>
            <w:r>
              <w:rPr>
                <w:rFonts w:hint="eastAsia" w:ascii="宋体" w:hAnsi="宋体" w:cs="宋体"/>
                <w:sz w:val="22"/>
                <w:szCs w:val="22"/>
              </w:rPr>
              <w:t>（三）门禁权限协助管理服务</w:t>
            </w:r>
          </w:p>
          <w:p w14:paraId="10868755">
            <w:pPr>
              <w:numPr>
                <w:ilvl w:val="255"/>
                <w:numId w:val="0"/>
              </w:numPr>
              <w:spacing w:after="78"/>
              <w:rPr>
                <w:rFonts w:ascii="宋体" w:hAnsi="宋体" w:cs="宋体"/>
                <w:sz w:val="22"/>
                <w:szCs w:val="22"/>
              </w:rPr>
            </w:pPr>
            <w:r>
              <w:rPr>
                <w:rFonts w:hint="eastAsia" w:ascii="宋体" w:hAnsi="宋体" w:cs="宋体"/>
                <w:sz w:val="22"/>
                <w:szCs w:val="22"/>
              </w:rPr>
              <w:t>1、权限操作支撑：配合医院保卫科及各科室，规范执行权限全生命周期管理。</w:t>
            </w:r>
          </w:p>
          <w:p w14:paraId="59D9516A">
            <w:pPr>
              <w:numPr>
                <w:ilvl w:val="255"/>
                <w:numId w:val="0"/>
              </w:numPr>
              <w:spacing w:after="78"/>
              <w:rPr>
                <w:rFonts w:ascii="宋体" w:hAnsi="宋体" w:cs="宋体"/>
                <w:sz w:val="22"/>
                <w:szCs w:val="22"/>
              </w:rPr>
            </w:pPr>
            <w:r>
              <w:rPr>
                <w:rFonts w:hint="eastAsia" w:ascii="宋体" w:hAnsi="宋体" w:cs="宋体"/>
                <w:sz w:val="22"/>
                <w:szCs w:val="22"/>
              </w:rPr>
              <w:t>2、权限新增：接收审核通过的《门禁权限申请表》后，2 个工作日内完成系统录入与测试，一级管控区域需验证双重认证配置准确性。</w:t>
            </w:r>
          </w:p>
          <w:p w14:paraId="774B9A18">
            <w:pPr>
              <w:numPr>
                <w:ilvl w:val="255"/>
                <w:numId w:val="0"/>
              </w:numPr>
              <w:spacing w:after="78"/>
              <w:rPr>
                <w:rFonts w:ascii="宋体" w:hAnsi="宋体" w:cs="宋体"/>
                <w:sz w:val="22"/>
                <w:szCs w:val="22"/>
              </w:rPr>
            </w:pPr>
            <w:r>
              <w:rPr>
                <w:rFonts w:hint="eastAsia" w:ascii="宋体" w:hAnsi="宋体" w:cs="宋体"/>
                <w:sz w:val="22"/>
                <w:szCs w:val="22"/>
              </w:rPr>
              <w:t>3、权限变更 / 注销：接到科室申请后，1 个工作日内完成调整，离职人员权限需同步注销。</w:t>
            </w:r>
          </w:p>
          <w:p w14:paraId="3D672E5C">
            <w:pPr>
              <w:numPr>
                <w:ilvl w:val="255"/>
                <w:numId w:val="0"/>
              </w:numPr>
              <w:spacing w:after="78"/>
              <w:rPr>
                <w:rFonts w:ascii="宋体" w:hAnsi="宋体" w:cs="宋体"/>
                <w:sz w:val="22"/>
                <w:szCs w:val="22"/>
              </w:rPr>
            </w:pPr>
            <w:r>
              <w:rPr>
                <w:rFonts w:hint="eastAsia" w:ascii="宋体" w:hAnsi="宋体" w:cs="宋体"/>
                <w:sz w:val="22"/>
                <w:szCs w:val="22"/>
              </w:rPr>
              <w:t>4、临时权限：针对第三方人员及访客，按申请要求设置有效期（最长不超过 7 天），到期自动失效，留存权限配置记录≥6 个月。</w:t>
            </w:r>
          </w:p>
          <w:p w14:paraId="36387727">
            <w:pPr>
              <w:numPr>
                <w:ilvl w:val="255"/>
                <w:numId w:val="0"/>
              </w:numPr>
              <w:spacing w:after="78"/>
              <w:rPr>
                <w:rFonts w:ascii="宋体" w:hAnsi="宋体" w:cs="宋体"/>
                <w:sz w:val="22"/>
                <w:szCs w:val="22"/>
              </w:rPr>
            </w:pPr>
            <w:r>
              <w:rPr>
                <w:rFonts w:hint="eastAsia" w:ascii="宋体" w:hAnsi="宋体" w:cs="宋体"/>
                <w:sz w:val="22"/>
                <w:szCs w:val="22"/>
              </w:rPr>
              <w:t>5、权限核验协助：每季度协助开展权限梳理工作，比对人事变动、患者出院等信息，清理无效权限；每年协助完成全面权限审计，形成审计报告并归档。</w:t>
            </w:r>
          </w:p>
          <w:p w14:paraId="4363FC4D">
            <w:pPr>
              <w:numPr>
                <w:ilvl w:val="255"/>
                <w:numId w:val="0"/>
              </w:numPr>
              <w:spacing w:after="78"/>
              <w:rPr>
                <w:rFonts w:ascii="宋体" w:hAnsi="宋体" w:cs="宋体"/>
                <w:sz w:val="22"/>
                <w:szCs w:val="22"/>
              </w:rPr>
            </w:pPr>
            <w:r>
              <w:rPr>
                <w:rFonts w:hint="eastAsia" w:ascii="宋体" w:hAnsi="宋体" w:cs="宋体"/>
                <w:sz w:val="22"/>
                <w:szCs w:val="22"/>
              </w:rPr>
              <w:t>6、权限安全保障：确保权限操作全程留痕，所有配置记录不可更改。</w:t>
            </w:r>
          </w:p>
          <w:p w14:paraId="39A12988">
            <w:pPr>
              <w:numPr>
                <w:ilvl w:val="255"/>
                <w:numId w:val="0"/>
              </w:numPr>
              <w:spacing w:after="78"/>
              <w:rPr>
                <w:rFonts w:ascii="宋体" w:hAnsi="宋体" w:cs="宋体"/>
                <w:sz w:val="22"/>
                <w:szCs w:val="22"/>
              </w:rPr>
            </w:pPr>
            <w:r>
              <w:rPr>
                <w:rFonts w:hint="eastAsia" w:ascii="宋体" w:hAnsi="宋体" w:cs="宋体"/>
                <w:sz w:val="22"/>
                <w:szCs w:val="22"/>
              </w:rPr>
              <w:t>（四）设备故障应急维修服务</w:t>
            </w:r>
          </w:p>
          <w:p w14:paraId="56376561">
            <w:pPr>
              <w:numPr>
                <w:ilvl w:val="255"/>
                <w:numId w:val="0"/>
              </w:numPr>
              <w:spacing w:after="78"/>
              <w:rPr>
                <w:rFonts w:ascii="宋体" w:hAnsi="宋体" w:cs="宋体"/>
                <w:sz w:val="22"/>
                <w:szCs w:val="22"/>
              </w:rPr>
            </w:pPr>
            <w:r>
              <w:rPr>
                <w:rFonts w:hint="eastAsia" w:ascii="宋体" w:hAnsi="宋体" w:cs="宋体"/>
                <w:sz w:val="22"/>
                <w:szCs w:val="22"/>
              </w:rPr>
              <w:t>1、响应机制：建立分级响应体系，明确故障响应与修复时限：</w:t>
            </w:r>
          </w:p>
          <w:p w14:paraId="0F4E074B">
            <w:pPr>
              <w:numPr>
                <w:ilvl w:val="255"/>
                <w:numId w:val="0"/>
              </w:numPr>
              <w:spacing w:after="78"/>
              <w:rPr>
                <w:rFonts w:ascii="宋体" w:hAnsi="宋体" w:cs="宋体"/>
                <w:sz w:val="22"/>
                <w:szCs w:val="22"/>
              </w:rPr>
            </w:pPr>
            <w:r>
              <w:rPr>
                <w:rFonts w:hint="eastAsia" w:ascii="宋体" w:hAnsi="宋体" w:cs="宋体"/>
                <w:sz w:val="22"/>
                <w:szCs w:val="22"/>
              </w:rPr>
              <w:t>2、一级故障（重点区域）：手术室、ICU、药品库、财务室等一级管控区域设备故障，30 分钟内响应，1 小时内到场维修，4 小时内恢复正常。</w:t>
            </w:r>
          </w:p>
          <w:p w14:paraId="42A94193">
            <w:pPr>
              <w:numPr>
                <w:ilvl w:val="255"/>
                <w:numId w:val="0"/>
              </w:numPr>
              <w:spacing w:after="78"/>
              <w:rPr>
                <w:rFonts w:ascii="宋体" w:hAnsi="宋体" w:cs="宋体"/>
                <w:sz w:val="22"/>
                <w:szCs w:val="22"/>
              </w:rPr>
            </w:pPr>
            <w:r>
              <w:rPr>
                <w:rFonts w:hint="eastAsia" w:ascii="宋体" w:hAnsi="宋体" w:cs="宋体"/>
                <w:sz w:val="22"/>
                <w:szCs w:val="22"/>
              </w:rPr>
              <w:t>3、二级故障（关键区域）：住院部、检验科等二级管控区域设备故障，1 小时内响应，2 小时内到场维修，8 小时内恢复正常。</w:t>
            </w:r>
          </w:p>
          <w:p w14:paraId="55EF621C">
            <w:pPr>
              <w:numPr>
                <w:ilvl w:val="255"/>
                <w:numId w:val="0"/>
              </w:numPr>
              <w:spacing w:after="78"/>
              <w:rPr>
                <w:rFonts w:ascii="宋体" w:hAnsi="宋体" w:cs="宋体"/>
                <w:sz w:val="22"/>
                <w:szCs w:val="22"/>
              </w:rPr>
            </w:pPr>
            <w:r>
              <w:rPr>
                <w:rFonts w:hint="eastAsia" w:ascii="宋体" w:hAnsi="宋体" w:cs="宋体"/>
                <w:sz w:val="22"/>
                <w:szCs w:val="22"/>
              </w:rPr>
              <w:t>4、三级故障（普通区域）：门诊非核心区域设备故障，2 小时内响应，24 小时内完成修复。</w:t>
            </w:r>
          </w:p>
          <w:p w14:paraId="5038F4E1">
            <w:pPr>
              <w:numPr>
                <w:ilvl w:val="255"/>
                <w:numId w:val="0"/>
              </w:numPr>
              <w:spacing w:after="78"/>
              <w:rPr>
                <w:rFonts w:ascii="宋体" w:hAnsi="宋体" w:cs="宋体"/>
                <w:sz w:val="22"/>
                <w:szCs w:val="22"/>
              </w:rPr>
            </w:pPr>
            <w:r>
              <w:rPr>
                <w:rFonts w:hint="eastAsia" w:ascii="宋体" w:hAnsi="宋体" w:cs="宋体"/>
                <w:sz w:val="22"/>
                <w:szCs w:val="22"/>
              </w:rPr>
              <w:t>5、维修规范：故障维修需遵循 “先排查后处置、先临时后永久” 原则，维修前需评估风险并采取临时安防措施；更换的备件需与原设备型号匹配且符合国家标准，维修记录需包含故障原因、处置过程及预防措施。</w:t>
            </w:r>
          </w:p>
          <w:p w14:paraId="559A209C">
            <w:pPr>
              <w:numPr>
                <w:ilvl w:val="255"/>
                <w:numId w:val="0"/>
              </w:numPr>
              <w:spacing w:after="78"/>
              <w:rPr>
                <w:rFonts w:ascii="宋体" w:hAnsi="宋体" w:cs="宋体"/>
                <w:sz w:val="22"/>
                <w:szCs w:val="22"/>
              </w:rPr>
            </w:pPr>
            <w:bookmarkStart w:id="2" w:name="OLE_LINK8"/>
            <w:r>
              <w:rPr>
                <w:rFonts w:hint="eastAsia" w:ascii="宋体" w:hAnsi="宋体" w:cs="宋体"/>
                <w:sz w:val="22"/>
                <w:szCs w:val="22"/>
              </w:rPr>
              <w:t>（五）综合运维协助服务</w:t>
            </w:r>
          </w:p>
          <w:bookmarkEnd w:id="2"/>
          <w:p w14:paraId="792C9EBB">
            <w:pPr>
              <w:numPr>
                <w:ilvl w:val="255"/>
                <w:numId w:val="0"/>
              </w:numPr>
              <w:spacing w:after="78"/>
              <w:rPr>
                <w:rFonts w:ascii="宋体" w:hAnsi="宋体" w:cs="宋体"/>
                <w:sz w:val="22"/>
                <w:szCs w:val="22"/>
              </w:rPr>
            </w:pPr>
            <w:r>
              <w:rPr>
                <w:rFonts w:hint="eastAsia" w:ascii="宋体" w:hAnsi="宋体" w:cs="宋体"/>
                <w:sz w:val="22"/>
                <w:szCs w:val="22"/>
              </w:rPr>
              <w:t>1、系统联动支持：协助完成门禁系统与视频监控、入侵报警等安防子系统的联动测试。</w:t>
            </w:r>
          </w:p>
          <w:p w14:paraId="0D2D0E0A">
            <w:pPr>
              <w:numPr>
                <w:ilvl w:val="255"/>
                <w:numId w:val="0"/>
              </w:numPr>
              <w:spacing w:after="78"/>
              <w:rPr>
                <w:rFonts w:ascii="宋体" w:hAnsi="宋体" w:cs="宋体"/>
                <w:sz w:val="22"/>
                <w:szCs w:val="22"/>
              </w:rPr>
            </w:pPr>
            <w:r>
              <w:rPr>
                <w:rFonts w:hint="eastAsia" w:ascii="宋体" w:hAnsi="宋体" w:cs="宋体"/>
                <w:sz w:val="22"/>
                <w:szCs w:val="22"/>
              </w:rPr>
              <w:t>2、应急处置协助：参与制定门禁系统突发事件应急预案，每半年协助开展 1 次应急演练（含服务器宕机、网络中断、火灾联动等场景），演练后 7 个工作日内提交优化报告。</w:t>
            </w:r>
          </w:p>
          <w:p w14:paraId="2456A4DD">
            <w:pPr>
              <w:numPr>
                <w:ilvl w:val="255"/>
                <w:numId w:val="0"/>
              </w:numPr>
              <w:spacing w:after="78"/>
              <w:rPr>
                <w:rFonts w:ascii="宋体" w:hAnsi="宋体" w:cs="宋体"/>
                <w:sz w:val="22"/>
                <w:szCs w:val="22"/>
              </w:rPr>
            </w:pPr>
            <w:r>
              <w:rPr>
                <w:rFonts w:hint="eastAsia" w:ascii="宋体" w:hAnsi="宋体" w:cs="宋体"/>
                <w:sz w:val="22"/>
                <w:szCs w:val="22"/>
              </w:rPr>
              <w:t>3、培训与咨询服务：每季度开展 1 次科室管理员培训，内容涵盖权限申请流程、简单故障排查、应急开锁操作等；提供 7×24 小时技术咨询服务，响应时间≤30 分钟。</w:t>
            </w:r>
          </w:p>
          <w:p w14:paraId="1928264A">
            <w:pPr>
              <w:numPr>
                <w:ilvl w:val="255"/>
                <w:numId w:val="0"/>
              </w:numPr>
              <w:spacing w:after="78"/>
              <w:rPr>
                <w:rFonts w:ascii="宋体" w:hAnsi="宋体" w:cs="宋体"/>
                <w:sz w:val="22"/>
                <w:szCs w:val="22"/>
              </w:rPr>
            </w:pPr>
            <w:r>
              <w:rPr>
                <w:rFonts w:hint="eastAsia" w:ascii="宋体" w:hAnsi="宋体" w:cs="宋体"/>
                <w:sz w:val="22"/>
                <w:szCs w:val="22"/>
              </w:rPr>
              <w:t>4、数据与报告管理：每日备份门禁运行日志及权限数据，确保记录保存≥6 个月；每月提交《运维服务报告》，包含设备运行状态、故障统计、处理时效、优化建议等内容；每年提交《年度运维评估报告》，提出系统升级改造建议。</w:t>
            </w:r>
          </w:p>
          <w:p w14:paraId="5F43DA53">
            <w:pPr>
              <w:numPr>
                <w:ilvl w:val="255"/>
                <w:numId w:val="0"/>
              </w:numPr>
              <w:spacing w:after="78"/>
              <w:rPr>
                <w:rFonts w:ascii="宋体" w:hAnsi="宋体" w:cs="宋体"/>
                <w:szCs w:val="21"/>
              </w:rPr>
            </w:pPr>
            <w:r>
              <w:rPr>
                <w:rFonts w:hint="eastAsia" w:ascii="宋体" w:hAnsi="宋体" w:cs="宋体"/>
                <w:sz w:val="22"/>
                <w:szCs w:val="22"/>
              </w:rPr>
              <w:t>5、★对医院现有的门禁管理系统进行升级更新</w:t>
            </w:r>
            <w:r>
              <w:rPr>
                <w:rFonts w:hint="eastAsia" w:ascii="宋体" w:hAnsi="宋体" w:cs="宋体"/>
                <w:sz w:val="22"/>
                <w:szCs w:val="22"/>
                <w:lang w:eastAsia="zh-CN"/>
              </w:rPr>
              <w:t>，</w:t>
            </w:r>
            <w:r>
              <w:rPr>
                <w:rFonts w:hint="eastAsia" w:ascii="宋体" w:hAnsi="宋体" w:cs="宋体"/>
                <w:sz w:val="22"/>
                <w:szCs w:val="22"/>
              </w:rPr>
              <w:t>提供承诺函；</w:t>
            </w:r>
          </w:p>
        </w:tc>
      </w:tr>
    </w:tbl>
    <w:p w14:paraId="615E62B0"/>
    <w:p w14:paraId="56C32073">
      <w:pPr>
        <w:spacing w:line="320" w:lineRule="exact"/>
        <w:jc w:val="left"/>
        <w:rPr>
          <w:rFonts w:ascii="宋体" w:hAnsi="宋体"/>
          <w:szCs w:val="21"/>
        </w:rPr>
      </w:pPr>
      <w:r>
        <w:rPr>
          <w:rFonts w:hint="eastAsia" w:ascii="宋体" w:hAnsi="宋体"/>
          <w:szCs w:val="21"/>
        </w:rPr>
        <w:t>注：1、每项得分均不能超过该项最高分值，得分精确至小数点后两位。</w:t>
      </w:r>
    </w:p>
    <w:p w14:paraId="30A2666F">
      <w:pPr>
        <w:numPr>
          <w:ilvl w:val="0"/>
          <w:numId w:val="2"/>
        </w:numPr>
        <w:spacing w:line="320" w:lineRule="exact"/>
        <w:ind w:firstLine="420" w:firstLineChars="200"/>
        <w:jc w:val="left"/>
        <w:rPr>
          <w:rFonts w:ascii="宋体" w:hAnsi="宋体"/>
          <w:szCs w:val="21"/>
        </w:rPr>
      </w:pPr>
      <w:r>
        <w:rPr>
          <w:rFonts w:hint="eastAsia" w:ascii="宋体" w:hAnsi="宋体"/>
          <w:szCs w:val="21"/>
        </w:rPr>
        <w:t>缺项或不合格，则该项为0分。</w:t>
      </w:r>
    </w:p>
    <w:p w14:paraId="001CEA45">
      <w:pPr>
        <w:numPr>
          <w:ilvl w:val="0"/>
          <w:numId w:val="2"/>
        </w:numPr>
        <w:spacing w:line="320" w:lineRule="exact"/>
        <w:ind w:firstLine="420" w:firstLineChars="200"/>
        <w:jc w:val="left"/>
      </w:pPr>
      <w:r>
        <w:rPr>
          <w:rFonts w:hint="eastAsia" w:ascii="宋体" w:hAnsi="宋体"/>
          <w:szCs w:val="21"/>
        </w:rPr>
        <w:t>带“★”的参数为实质性参数，达不到招标文件要求的，该投标文件不通过。</w:t>
      </w:r>
    </w:p>
    <w:p w14:paraId="25EB2833"/>
    <w:p w14:paraId="04FFCE46"/>
    <w:p w14:paraId="57E6551F"/>
    <w:p w14:paraId="7DAAF01B"/>
    <w:p w14:paraId="235E3FE7"/>
    <w:p w14:paraId="25AF822C"/>
    <w:p w14:paraId="3A2A87CC"/>
    <w:p w14:paraId="2CBC63BC"/>
    <w:p w14:paraId="25D721AC"/>
    <w:p w14:paraId="7157840E"/>
    <w:p w14:paraId="34995533">
      <w:pPr>
        <w:pStyle w:val="2"/>
      </w:pPr>
    </w:p>
    <w:p w14:paraId="2509943B"/>
    <w:p w14:paraId="162ECF20">
      <w:pPr>
        <w:pStyle w:val="2"/>
      </w:pPr>
    </w:p>
    <w:p w14:paraId="3F587A36"/>
    <w:p w14:paraId="1DDA44C9">
      <w:pPr>
        <w:pStyle w:val="2"/>
      </w:pPr>
    </w:p>
    <w:p w14:paraId="32C3ADAB"/>
    <w:p w14:paraId="2F26B701"/>
    <w:p w14:paraId="78E9DF1D"/>
    <w:p w14:paraId="627BBF18"/>
    <w:p w14:paraId="7D81804F"/>
    <w:p w14:paraId="1B2982E7"/>
    <w:p w14:paraId="5D6124FE"/>
    <w:p w14:paraId="2AA7A807"/>
    <w:p w14:paraId="5F6117D4"/>
    <w:p w14:paraId="24F96B5A">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b/>
          <w:bCs/>
          <w:sz w:val="22"/>
          <w:szCs w:val="22"/>
          <w:u w:val="single"/>
        </w:rPr>
        <w:t xml:space="preserve">                           </w:t>
      </w:r>
      <w:r>
        <w:rPr>
          <w:rFonts w:hint="eastAsia" w:ascii="宋体" w:hAnsi="宋体"/>
          <w:b/>
          <w:sz w:val="24"/>
          <w:szCs w:val="24"/>
        </w:rPr>
        <w:t>项目投标文件</w:t>
      </w:r>
    </w:p>
    <w:p w14:paraId="27CB2DE1">
      <w:pPr>
        <w:spacing w:line="360" w:lineRule="auto"/>
        <w:rPr>
          <w:rFonts w:ascii="宋体" w:hAnsi="宋体"/>
          <w:b/>
          <w:sz w:val="24"/>
          <w:szCs w:val="24"/>
        </w:rPr>
      </w:pPr>
    </w:p>
    <w:p w14:paraId="5B0D3751">
      <w:pPr>
        <w:spacing w:line="360" w:lineRule="auto"/>
        <w:jc w:val="center"/>
        <w:rPr>
          <w:rFonts w:ascii="宋体" w:hAnsi="宋体"/>
          <w:b/>
          <w:sz w:val="24"/>
          <w:szCs w:val="24"/>
        </w:rPr>
      </w:pPr>
    </w:p>
    <w:p w14:paraId="166CF1F0">
      <w:pPr>
        <w:spacing w:line="360" w:lineRule="auto"/>
        <w:rPr>
          <w:rFonts w:ascii="宋体" w:hAnsi="宋体"/>
          <w:b/>
          <w:sz w:val="24"/>
          <w:szCs w:val="24"/>
        </w:rPr>
      </w:pPr>
    </w:p>
    <w:p w14:paraId="27C31E41">
      <w:pPr>
        <w:spacing w:line="360" w:lineRule="auto"/>
        <w:rPr>
          <w:rFonts w:ascii="宋体" w:hAnsi="宋体"/>
          <w:b/>
          <w:sz w:val="24"/>
          <w:szCs w:val="24"/>
        </w:rPr>
      </w:pPr>
    </w:p>
    <w:p w14:paraId="0D0E03CA">
      <w:pPr>
        <w:spacing w:line="360" w:lineRule="auto"/>
        <w:jc w:val="center"/>
        <w:rPr>
          <w:rFonts w:ascii="宋体" w:hAnsi="宋体"/>
          <w:b/>
          <w:sz w:val="24"/>
          <w:szCs w:val="24"/>
        </w:rPr>
      </w:pPr>
      <w:r>
        <w:rPr>
          <w:rFonts w:hint="eastAsia" w:ascii="宋体" w:hAnsi="宋体"/>
          <w:b/>
          <w:sz w:val="24"/>
          <w:szCs w:val="24"/>
        </w:rPr>
        <w:t>开标一览表</w:t>
      </w:r>
    </w:p>
    <w:p w14:paraId="45DFACFF">
      <w:pPr>
        <w:spacing w:line="360" w:lineRule="auto"/>
        <w:rPr>
          <w:rFonts w:ascii="宋体" w:hAnsi="宋体"/>
          <w:b/>
          <w:sz w:val="24"/>
          <w:szCs w:val="24"/>
        </w:rPr>
      </w:pPr>
    </w:p>
    <w:p w14:paraId="7C0D319A">
      <w:pPr>
        <w:spacing w:line="360" w:lineRule="auto"/>
        <w:rPr>
          <w:rFonts w:ascii="宋体" w:hAnsi="宋体"/>
          <w:b/>
          <w:sz w:val="24"/>
          <w:szCs w:val="24"/>
        </w:rPr>
      </w:pPr>
    </w:p>
    <w:p w14:paraId="496E1E1D">
      <w:pPr>
        <w:spacing w:line="360" w:lineRule="auto"/>
        <w:rPr>
          <w:rFonts w:ascii="宋体" w:hAnsi="宋体"/>
          <w:b/>
          <w:sz w:val="24"/>
          <w:szCs w:val="24"/>
        </w:rPr>
      </w:pPr>
    </w:p>
    <w:p w14:paraId="242B152F">
      <w:pPr>
        <w:spacing w:line="360" w:lineRule="auto"/>
        <w:rPr>
          <w:rFonts w:ascii="宋体" w:hAnsi="宋体"/>
          <w:b/>
          <w:sz w:val="24"/>
          <w:szCs w:val="24"/>
        </w:rPr>
      </w:pPr>
    </w:p>
    <w:p w14:paraId="5D9C0E09">
      <w:pPr>
        <w:spacing w:line="360" w:lineRule="auto"/>
        <w:rPr>
          <w:rFonts w:ascii="宋体" w:hAnsi="宋体"/>
          <w:b/>
          <w:sz w:val="24"/>
          <w:szCs w:val="24"/>
        </w:rPr>
      </w:pPr>
    </w:p>
    <w:p w14:paraId="1CAB3E08">
      <w:pPr>
        <w:spacing w:line="360" w:lineRule="auto"/>
        <w:rPr>
          <w:rFonts w:ascii="宋体" w:hAnsi="宋体"/>
          <w:b/>
          <w:sz w:val="24"/>
          <w:szCs w:val="24"/>
        </w:rPr>
      </w:pPr>
    </w:p>
    <w:p w14:paraId="194BE764">
      <w:pPr>
        <w:spacing w:line="360" w:lineRule="auto"/>
        <w:rPr>
          <w:rFonts w:ascii="宋体" w:hAnsi="宋体"/>
          <w:b/>
          <w:sz w:val="24"/>
          <w:szCs w:val="24"/>
        </w:rPr>
      </w:pPr>
    </w:p>
    <w:p w14:paraId="27E6B265">
      <w:pPr>
        <w:spacing w:line="360" w:lineRule="auto"/>
        <w:rPr>
          <w:rFonts w:ascii="宋体" w:hAnsi="宋体"/>
          <w:b/>
          <w:sz w:val="24"/>
          <w:szCs w:val="24"/>
        </w:rPr>
      </w:pPr>
    </w:p>
    <w:p w14:paraId="6E774DBB">
      <w:pPr>
        <w:spacing w:line="360" w:lineRule="auto"/>
        <w:rPr>
          <w:rFonts w:ascii="宋体" w:hAnsi="宋体"/>
          <w:b/>
          <w:sz w:val="24"/>
          <w:szCs w:val="24"/>
        </w:rPr>
      </w:pPr>
    </w:p>
    <w:p w14:paraId="42154161">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       </w:t>
      </w:r>
      <w:r>
        <w:rPr>
          <w:rFonts w:hint="eastAsia" w:ascii="宋体" w:hAnsi="宋体"/>
          <w:b/>
          <w:sz w:val="24"/>
          <w:szCs w:val="24"/>
          <w:u w:val="single"/>
        </w:rPr>
        <w:t xml:space="preserve">       </w:t>
      </w:r>
    </w:p>
    <w:p w14:paraId="2621AF39">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ascii="宋体" w:hAnsi="宋体"/>
          <w:color w:val="000000"/>
          <w:szCs w:val="21"/>
        </w:rPr>
      </w:pPr>
      <w:bookmarkStart w:id="3" w:name="_Toc211243316"/>
      <w:bookmarkStart w:id="4" w:name="_Toc311468376"/>
      <w:r>
        <w:rPr>
          <w:rFonts w:ascii="宋体" w:hAnsi="宋体"/>
          <w:color w:val="000000"/>
          <w:szCs w:val="21"/>
        </w:rPr>
        <w:t>格式2.</w:t>
      </w:r>
      <w:bookmarkEnd w:id="3"/>
      <w:r>
        <w:rPr>
          <w:rFonts w:ascii="宋体" w:hAnsi="宋体"/>
          <w:color w:val="000000"/>
          <w:szCs w:val="21"/>
        </w:rPr>
        <w:t xml:space="preserve"> 开标一览表格式</w:t>
      </w:r>
      <w:bookmarkEnd w:id="4"/>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jc w:val="left"/>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rFonts w:hint="eastAsia"/>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color w:val="000000"/>
          <w:szCs w:val="21"/>
        </w:rPr>
      </w:pP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2"/>
        <w:gridCol w:w="1245"/>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投标单价（元/月）</w:t>
            </w:r>
          </w:p>
        </w:tc>
        <w:tc>
          <w:tcPr>
            <w:tcW w:w="1428" w:type="pct"/>
            <w:vAlign w:val="center"/>
          </w:tcPr>
          <w:p w14:paraId="49D192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投标总价（元）</w:t>
            </w:r>
          </w:p>
        </w:tc>
        <w:tc>
          <w:tcPr>
            <w:tcW w:w="1428"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tcPr>
          <w:p w14:paraId="132C510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合同签订生效后</w:t>
            </w:r>
            <w:r>
              <w:rPr>
                <w:rFonts w:hint="eastAsia" w:ascii="宋体" w:hAnsi="宋体"/>
              </w:rPr>
              <w:t>至</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tc>
        <w:tc>
          <w:tcPr>
            <w:tcW w:w="714" w:type="pct"/>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714" w:type="pct"/>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ascii="宋体" w:hAnsi="宋体"/>
          <w:bCs/>
          <w:sz w:val="24"/>
          <w:szCs w:val="24"/>
        </w:rPr>
      </w:pPr>
      <w:r>
        <w:rPr>
          <w:rFonts w:ascii="宋体" w:hAnsi="宋体"/>
          <w:color w:val="000000"/>
          <w:szCs w:val="21"/>
        </w:rPr>
        <w:br w:type="page"/>
      </w:r>
    </w:p>
    <w:p w14:paraId="18D690AD">
      <w:pPr>
        <w:rPr>
          <w:rFonts w:ascii="宋体" w:hAnsi="宋体"/>
          <w:color w:val="000000"/>
          <w:szCs w:val="21"/>
        </w:rPr>
      </w:pPr>
      <w:bookmarkStart w:id="5" w:name="_Toc211243319"/>
      <w:bookmarkStart w:id="6" w:name="_Toc311468378"/>
      <w:r>
        <w:rPr>
          <w:rFonts w:ascii="宋体" w:hAnsi="宋体"/>
          <w:color w:val="000000"/>
          <w:szCs w:val="21"/>
        </w:rPr>
        <w:t>格式</w:t>
      </w:r>
      <w:r>
        <w:rPr>
          <w:rFonts w:hint="eastAsia" w:ascii="宋体" w:hAnsi="宋体"/>
          <w:color w:val="000000"/>
          <w:szCs w:val="21"/>
        </w:rPr>
        <w:t>3</w:t>
      </w:r>
      <w:r>
        <w:rPr>
          <w:rFonts w:ascii="宋体" w:hAnsi="宋体"/>
          <w:color w:val="000000"/>
          <w:szCs w:val="21"/>
        </w:rPr>
        <w:t>.</w:t>
      </w:r>
      <w:bookmarkEnd w:id="5"/>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6"/>
    </w:p>
    <w:p w14:paraId="045AE8B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5DA0FF96">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A8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250C3D4">
            <w:pPr>
              <w:jc w:val="center"/>
              <w:rPr>
                <w:color w:val="000000"/>
                <w:sz w:val="24"/>
                <w:szCs w:val="24"/>
              </w:rPr>
            </w:pPr>
            <w:r>
              <w:rPr>
                <w:color w:val="000000"/>
                <w:szCs w:val="24"/>
              </w:rPr>
              <w:t>需求名称</w:t>
            </w:r>
          </w:p>
        </w:tc>
        <w:tc>
          <w:tcPr>
            <w:tcW w:w="1980" w:type="dxa"/>
            <w:vAlign w:val="center"/>
          </w:tcPr>
          <w:p w14:paraId="1A3645ED">
            <w:pPr>
              <w:jc w:val="center"/>
              <w:rPr>
                <w:color w:val="000000"/>
                <w:szCs w:val="24"/>
              </w:rPr>
            </w:pPr>
            <w:r>
              <w:rPr>
                <w:color w:val="000000"/>
                <w:szCs w:val="24"/>
              </w:rPr>
              <w:t>招标文件技术需求</w:t>
            </w:r>
          </w:p>
        </w:tc>
        <w:tc>
          <w:tcPr>
            <w:tcW w:w="1832" w:type="dxa"/>
            <w:vAlign w:val="center"/>
          </w:tcPr>
          <w:p w14:paraId="26F83E1E">
            <w:pPr>
              <w:jc w:val="center"/>
              <w:rPr>
                <w:color w:val="000000"/>
                <w:sz w:val="24"/>
                <w:szCs w:val="24"/>
              </w:rPr>
            </w:pPr>
            <w:r>
              <w:rPr>
                <w:color w:val="000000"/>
                <w:szCs w:val="24"/>
              </w:rPr>
              <w:t>投标人响应情况</w:t>
            </w:r>
          </w:p>
        </w:tc>
        <w:tc>
          <w:tcPr>
            <w:tcW w:w="1675" w:type="dxa"/>
            <w:vAlign w:val="center"/>
          </w:tcPr>
          <w:p w14:paraId="44AE5391">
            <w:pPr>
              <w:jc w:val="center"/>
              <w:rPr>
                <w:color w:val="000000"/>
                <w:szCs w:val="24"/>
              </w:rPr>
            </w:pPr>
            <w:r>
              <w:rPr>
                <w:color w:val="000000"/>
                <w:szCs w:val="24"/>
              </w:rPr>
              <w:t>是否有偏离</w:t>
            </w:r>
          </w:p>
          <w:p w14:paraId="7EA84C1E">
            <w:pPr>
              <w:jc w:val="center"/>
              <w:rPr>
                <w:color w:val="000000"/>
                <w:sz w:val="24"/>
                <w:szCs w:val="24"/>
              </w:rPr>
            </w:pPr>
            <w:r>
              <w:rPr>
                <w:color w:val="000000"/>
                <w:szCs w:val="24"/>
              </w:rPr>
              <w:t>（填写有/无）</w:t>
            </w:r>
          </w:p>
        </w:tc>
        <w:tc>
          <w:tcPr>
            <w:tcW w:w="1673" w:type="dxa"/>
            <w:vAlign w:val="center"/>
          </w:tcPr>
          <w:p w14:paraId="5F44A1C4">
            <w:pPr>
              <w:jc w:val="center"/>
              <w:rPr>
                <w:color w:val="000000"/>
                <w:sz w:val="24"/>
                <w:szCs w:val="24"/>
              </w:rPr>
            </w:pPr>
            <w:r>
              <w:rPr>
                <w:color w:val="000000"/>
                <w:szCs w:val="24"/>
              </w:rPr>
              <w:t>偏离说明</w:t>
            </w:r>
          </w:p>
        </w:tc>
      </w:tr>
      <w:tr w14:paraId="247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A62554F">
            <w:pPr>
              <w:spacing w:line="360" w:lineRule="auto"/>
              <w:rPr>
                <w:rFonts w:ascii="宋体" w:hAnsi="宋体"/>
                <w:color w:val="000000"/>
                <w:szCs w:val="21"/>
                <w:u w:val="single"/>
              </w:rPr>
            </w:pPr>
          </w:p>
        </w:tc>
        <w:tc>
          <w:tcPr>
            <w:tcW w:w="1980" w:type="dxa"/>
          </w:tcPr>
          <w:p w14:paraId="07BCA3E2">
            <w:pPr>
              <w:spacing w:line="360" w:lineRule="auto"/>
              <w:rPr>
                <w:color w:val="000000"/>
                <w:szCs w:val="21"/>
                <w:u w:val="single"/>
              </w:rPr>
            </w:pPr>
          </w:p>
        </w:tc>
        <w:tc>
          <w:tcPr>
            <w:tcW w:w="1832" w:type="dxa"/>
          </w:tcPr>
          <w:p w14:paraId="017C7169">
            <w:pPr>
              <w:spacing w:line="360" w:lineRule="auto"/>
              <w:rPr>
                <w:color w:val="000000"/>
                <w:szCs w:val="21"/>
                <w:u w:val="single"/>
              </w:rPr>
            </w:pPr>
          </w:p>
        </w:tc>
        <w:tc>
          <w:tcPr>
            <w:tcW w:w="1675" w:type="dxa"/>
          </w:tcPr>
          <w:p w14:paraId="201931D0">
            <w:pPr>
              <w:spacing w:line="360" w:lineRule="auto"/>
              <w:rPr>
                <w:color w:val="000000"/>
                <w:szCs w:val="21"/>
                <w:u w:val="single"/>
              </w:rPr>
            </w:pPr>
          </w:p>
        </w:tc>
        <w:tc>
          <w:tcPr>
            <w:tcW w:w="1673" w:type="dxa"/>
          </w:tcPr>
          <w:p w14:paraId="3E1B462E">
            <w:pPr>
              <w:spacing w:line="360" w:lineRule="auto"/>
              <w:rPr>
                <w:color w:val="000000"/>
                <w:szCs w:val="21"/>
                <w:u w:val="single"/>
              </w:rPr>
            </w:pPr>
          </w:p>
        </w:tc>
      </w:tr>
      <w:tr w14:paraId="60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D8563A">
            <w:pPr>
              <w:spacing w:line="360" w:lineRule="auto"/>
              <w:rPr>
                <w:color w:val="000000"/>
                <w:szCs w:val="21"/>
                <w:u w:val="single"/>
              </w:rPr>
            </w:pPr>
          </w:p>
        </w:tc>
        <w:tc>
          <w:tcPr>
            <w:tcW w:w="1980" w:type="dxa"/>
          </w:tcPr>
          <w:p w14:paraId="2A1D1757">
            <w:pPr>
              <w:spacing w:line="360" w:lineRule="auto"/>
              <w:rPr>
                <w:color w:val="000000"/>
                <w:szCs w:val="21"/>
                <w:u w:val="single"/>
              </w:rPr>
            </w:pPr>
          </w:p>
        </w:tc>
        <w:tc>
          <w:tcPr>
            <w:tcW w:w="1832" w:type="dxa"/>
          </w:tcPr>
          <w:p w14:paraId="7674DE8B">
            <w:pPr>
              <w:spacing w:line="360" w:lineRule="auto"/>
              <w:rPr>
                <w:color w:val="000000"/>
                <w:szCs w:val="21"/>
                <w:u w:val="single"/>
              </w:rPr>
            </w:pPr>
          </w:p>
        </w:tc>
        <w:tc>
          <w:tcPr>
            <w:tcW w:w="1675" w:type="dxa"/>
          </w:tcPr>
          <w:p w14:paraId="7BCB438E">
            <w:pPr>
              <w:spacing w:line="360" w:lineRule="auto"/>
              <w:rPr>
                <w:color w:val="000000"/>
                <w:szCs w:val="21"/>
                <w:u w:val="single"/>
              </w:rPr>
            </w:pPr>
          </w:p>
        </w:tc>
        <w:tc>
          <w:tcPr>
            <w:tcW w:w="1673" w:type="dxa"/>
          </w:tcPr>
          <w:p w14:paraId="19CCF099">
            <w:pPr>
              <w:spacing w:line="360" w:lineRule="auto"/>
              <w:rPr>
                <w:color w:val="000000"/>
                <w:szCs w:val="21"/>
                <w:u w:val="single"/>
              </w:rPr>
            </w:pPr>
          </w:p>
        </w:tc>
      </w:tr>
      <w:tr w14:paraId="4E2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693B166">
            <w:pPr>
              <w:spacing w:line="360" w:lineRule="auto"/>
              <w:rPr>
                <w:color w:val="000000"/>
                <w:szCs w:val="21"/>
                <w:u w:val="single"/>
              </w:rPr>
            </w:pPr>
          </w:p>
        </w:tc>
        <w:tc>
          <w:tcPr>
            <w:tcW w:w="1980" w:type="dxa"/>
          </w:tcPr>
          <w:p w14:paraId="5DBBC66C">
            <w:pPr>
              <w:spacing w:line="360" w:lineRule="auto"/>
              <w:rPr>
                <w:color w:val="000000"/>
                <w:szCs w:val="21"/>
                <w:u w:val="single"/>
              </w:rPr>
            </w:pPr>
          </w:p>
        </w:tc>
        <w:tc>
          <w:tcPr>
            <w:tcW w:w="1832" w:type="dxa"/>
          </w:tcPr>
          <w:p w14:paraId="5CDCD815">
            <w:pPr>
              <w:spacing w:line="360" w:lineRule="auto"/>
              <w:rPr>
                <w:color w:val="000000"/>
                <w:szCs w:val="21"/>
                <w:u w:val="single"/>
              </w:rPr>
            </w:pPr>
          </w:p>
        </w:tc>
        <w:tc>
          <w:tcPr>
            <w:tcW w:w="1675" w:type="dxa"/>
          </w:tcPr>
          <w:p w14:paraId="649CA1B6">
            <w:pPr>
              <w:spacing w:line="360" w:lineRule="auto"/>
              <w:rPr>
                <w:color w:val="000000"/>
                <w:szCs w:val="21"/>
                <w:u w:val="single"/>
              </w:rPr>
            </w:pPr>
          </w:p>
        </w:tc>
        <w:tc>
          <w:tcPr>
            <w:tcW w:w="1673" w:type="dxa"/>
          </w:tcPr>
          <w:p w14:paraId="69272B5C">
            <w:pPr>
              <w:spacing w:line="360" w:lineRule="auto"/>
              <w:rPr>
                <w:color w:val="000000"/>
                <w:szCs w:val="21"/>
                <w:u w:val="single"/>
              </w:rPr>
            </w:pPr>
          </w:p>
        </w:tc>
      </w:tr>
      <w:tr w14:paraId="0A7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2C50650">
            <w:pPr>
              <w:spacing w:line="360" w:lineRule="auto"/>
              <w:rPr>
                <w:color w:val="000000"/>
                <w:szCs w:val="21"/>
                <w:u w:val="single"/>
              </w:rPr>
            </w:pPr>
          </w:p>
        </w:tc>
        <w:tc>
          <w:tcPr>
            <w:tcW w:w="1980" w:type="dxa"/>
          </w:tcPr>
          <w:p w14:paraId="35B79807">
            <w:pPr>
              <w:spacing w:line="360" w:lineRule="auto"/>
              <w:rPr>
                <w:color w:val="000000"/>
                <w:szCs w:val="21"/>
                <w:u w:val="single"/>
              </w:rPr>
            </w:pPr>
          </w:p>
        </w:tc>
        <w:tc>
          <w:tcPr>
            <w:tcW w:w="1832" w:type="dxa"/>
          </w:tcPr>
          <w:p w14:paraId="0590D838">
            <w:pPr>
              <w:spacing w:line="360" w:lineRule="auto"/>
              <w:rPr>
                <w:color w:val="000000"/>
                <w:szCs w:val="21"/>
                <w:u w:val="single"/>
              </w:rPr>
            </w:pPr>
          </w:p>
        </w:tc>
        <w:tc>
          <w:tcPr>
            <w:tcW w:w="1675" w:type="dxa"/>
          </w:tcPr>
          <w:p w14:paraId="161E4DCD">
            <w:pPr>
              <w:spacing w:line="360" w:lineRule="auto"/>
              <w:rPr>
                <w:color w:val="000000"/>
                <w:szCs w:val="21"/>
                <w:u w:val="single"/>
              </w:rPr>
            </w:pPr>
          </w:p>
        </w:tc>
        <w:tc>
          <w:tcPr>
            <w:tcW w:w="1673" w:type="dxa"/>
          </w:tcPr>
          <w:p w14:paraId="79E382F8">
            <w:pPr>
              <w:spacing w:line="360" w:lineRule="auto"/>
              <w:rPr>
                <w:color w:val="000000"/>
                <w:szCs w:val="21"/>
                <w:u w:val="single"/>
              </w:rPr>
            </w:pPr>
          </w:p>
        </w:tc>
      </w:tr>
      <w:tr w14:paraId="43D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725712">
            <w:pPr>
              <w:spacing w:line="360" w:lineRule="auto"/>
              <w:rPr>
                <w:color w:val="000000"/>
                <w:szCs w:val="21"/>
                <w:u w:val="single"/>
              </w:rPr>
            </w:pPr>
          </w:p>
        </w:tc>
        <w:tc>
          <w:tcPr>
            <w:tcW w:w="1980" w:type="dxa"/>
          </w:tcPr>
          <w:p w14:paraId="71A3580C">
            <w:pPr>
              <w:spacing w:line="360" w:lineRule="auto"/>
              <w:rPr>
                <w:color w:val="000000"/>
                <w:szCs w:val="21"/>
                <w:u w:val="single"/>
              </w:rPr>
            </w:pPr>
          </w:p>
        </w:tc>
        <w:tc>
          <w:tcPr>
            <w:tcW w:w="1832" w:type="dxa"/>
          </w:tcPr>
          <w:p w14:paraId="00708CF9">
            <w:pPr>
              <w:spacing w:line="360" w:lineRule="auto"/>
              <w:rPr>
                <w:color w:val="000000"/>
                <w:szCs w:val="21"/>
                <w:u w:val="single"/>
              </w:rPr>
            </w:pPr>
          </w:p>
        </w:tc>
        <w:tc>
          <w:tcPr>
            <w:tcW w:w="1675" w:type="dxa"/>
          </w:tcPr>
          <w:p w14:paraId="08304DD6">
            <w:pPr>
              <w:spacing w:line="360" w:lineRule="auto"/>
              <w:rPr>
                <w:color w:val="000000"/>
                <w:szCs w:val="21"/>
                <w:u w:val="single"/>
              </w:rPr>
            </w:pPr>
          </w:p>
        </w:tc>
        <w:tc>
          <w:tcPr>
            <w:tcW w:w="1673" w:type="dxa"/>
          </w:tcPr>
          <w:p w14:paraId="58E8DEDE">
            <w:pPr>
              <w:spacing w:line="360" w:lineRule="auto"/>
              <w:rPr>
                <w:color w:val="000000"/>
                <w:szCs w:val="21"/>
                <w:u w:val="single"/>
              </w:rPr>
            </w:pPr>
          </w:p>
        </w:tc>
      </w:tr>
      <w:tr w14:paraId="64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58C5EC">
            <w:pPr>
              <w:spacing w:line="360" w:lineRule="auto"/>
              <w:rPr>
                <w:color w:val="000000"/>
                <w:szCs w:val="21"/>
                <w:u w:val="single"/>
              </w:rPr>
            </w:pPr>
          </w:p>
        </w:tc>
        <w:tc>
          <w:tcPr>
            <w:tcW w:w="1980" w:type="dxa"/>
          </w:tcPr>
          <w:p w14:paraId="3DAA0851">
            <w:pPr>
              <w:spacing w:line="360" w:lineRule="auto"/>
              <w:rPr>
                <w:color w:val="000000"/>
                <w:szCs w:val="21"/>
                <w:u w:val="single"/>
              </w:rPr>
            </w:pPr>
          </w:p>
        </w:tc>
        <w:tc>
          <w:tcPr>
            <w:tcW w:w="1832" w:type="dxa"/>
          </w:tcPr>
          <w:p w14:paraId="10ADA6FE">
            <w:pPr>
              <w:spacing w:line="360" w:lineRule="auto"/>
              <w:rPr>
                <w:color w:val="000000"/>
                <w:szCs w:val="21"/>
                <w:u w:val="single"/>
              </w:rPr>
            </w:pPr>
          </w:p>
        </w:tc>
        <w:tc>
          <w:tcPr>
            <w:tcW w:w="1675" w:type="dxa"/>
          </w:tcPr>
          <w:p w14:paraId="1EB2E811">
            <w:pPr>
              <w:spacing w:line="360" w:lineRule="auto"/>
              <w:rPr>
                <w:color w:val="000000"/>
                <w:szCs w:val="21"/>
                <w:u w:val="single"/>
              </w:rPr>
            </w:pPr>
          </w:p>
        </w:tc>
        <w:tc>
          <w:tcPr>
            <w:tcW w:w="1673" w:type="dxa"/>
          </w:tcPr>
          <w:p w14:paraId="090996B5">
            <w:pPr>
              <w:spacing w:line="360" w:lineRule="auto"/>
              <w:rPr>
                <w:color w:val="000000"/>
                <w:szCs w:val="21"/>
                <w:u w:val="single"/>
              </w:rPr>
            </w:pPr>
          </w:p>
        </w:tc>
      </w:tr>
      <w:tr w14:paraId="605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ECD712">
            <w:pPr>
              <w:spacing w:line="360" w:lineRule="auto"/>
              <w:rPr>
                <w:color w:val="000000"/>
                <w:szCs w:val="21"/>
                <w:u w:val="single"/>
              </w:rPr>
            </w:pPr>
          </w:p>
        </w:tc>
        <w:tc>
          <w:tcPr>
            <w:tcW w:w="1980" w:type="dxa"/>
          </w:tcPr>
          <w:p w14:paraId="58F6566B">
            <w:pPr>
              <w:spacing w:line="360" w:lineRule="auto"/>
              <w:rPr>
                <w:color w:val="000000"/>
                <w:szCs w:val="21"/>
                <w:u w:val="single"/>
              </w:rPr>
            </w:pPr>
          </w:p>
        </w:tc>
        <w:tc>
          <w:tcPr>
            <w:tcW w:w="1832" w:type="dxa"/>
          </w:tcPr>
          <w:p w14:paraId="653DAA24">
            <w:pPr>
              <w:spacing w:line="360" w:lineRule="auto"/>
              <w:rPr>
                <w:color w:val="000000"/>
                <w:szCs w:val="21"/>
                <w:u w:val="single"/>
              </w:rPr>
            </w:pPr>
          </w:p>
        </w:tc>
        <w:tc>
          <w:tcPr>
            <w:tcW w:w="1675" w:type="dxa"/>
          </w:tcPr>
          <w:p w14:paraId="53781615">
            <w:pPr>
              <w:spacing w:line="360" w:lineRule="auto"/>
              <w:rPr>
                <w:color w:val="000000"/>
                <w:szCs w:val="21"/>
                <w:u w:val="single"/>
              </w:rPr>
            </w:pPr>
          </w:p>
        </w:tc>
        <w:tc>
          <w:tcPr>
            <w:tcW w:w="1673" w:type="dxa"/>
          </w:tcPr>
          <w:p w14:paraId="541281B2">
            <w:pPr>
              <w:spacing w:line="360" w:lineRule="auto"/>
              <w:rPr>
                <w:color w:val="000000"/>
                <w:szCs w:val="21"/>
                <w:u w:val="single"/>
              </w:rPr>
            </w:pPr>
          </w:p>
        </w:tc>
      </w:tr>
      <w:tr w14:paraId="29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116C6F">
            <w:pPr>
              <w:spacing w:line="360" w:lineRule="auto"/>
              <w:rPr>
                <w:color w:val="000000"/>
                <w:szCs w:val="21"/>
                <w:u w:val="single"/>
              </w:rPr>
            </w:pPr>
          </w:p>
        </w:tc>
        <w:tc>
          <w:tcPr>
            <w:tcW w:w="1980" w:type="dxa"/>
          </w:tcPr>
          <w:p w14:paraId="21861064">
            <w:pPr>
              <w:spacing w:line="360" w:lineRule="auto"/>
              <w:rPr>
                <w:color w:val="000000"/>
                <w:szCs w:val="21"/>
                <w:u w:val="single"/>
              </w:rPr>
            </w:pPr>
          </w:p>
        </w:tc>
        <w:tc>
          <w:tcPr>
            <w:tcW w:w="1832" w:type="dxa"/>
          </w:tcPr>
          <w:p w14:paraId="59C78FB2">
            <w:pPr>
              <w:spacing w:line="360" w:lineRule="auto"/>
              <w:rPr>
                <w:color w:val="000000"/>
                <w:szCs w:val="21"/>
                <w:u w:val="single"/>
              </w:rPr>
            </w:pPr>
          </w:p>
        </w:tc>
        <w:tc>
          <w:tcPr>
            <w:tcW w:w="1675" w:type="dxa"/>
          </w:tcPr>
          <w:p w14:paraId="711E9222">
            <w:pPr>
              <w:spacing w:line="360" w:lineRule="auto"/>
              <w:rPr>
                <w:color w:val="000000"/>
                <w:szCs w:val="21"/>
                <w:u w:val="single"/>
              </w:rPr>
            </w:pPr>
          </w:p>
        </w:tc>
        <w:tc>
          <w:tcPr>
            <w:tcW w:w="1673" w:type="dxa"/>
          </w:tcPr>
          <w:p w14:paraId="4418E120">
            <w:pPr>
              <w:spacing w:line="360" w:lineRule="auto"/>
              <w:rPr>
                <w:color w:val="000000"/>
                <w:szCs w:val="21"/>
                <w:u w:val="single"/>
              </w:rPr>
            </w:pPr>
          </w:p>
        </w:tc>
      </w:tr>
      <w:tr w14:paraId="42C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CF5F3A">
            <w:pPr>
              <w:spacing w:line="360" w:lineRule="auto"/>
              <w:rPr>
                <w:color w:val="000000"/>
                <w:szCs w:val="21"/>
                <w:u w:val="single"/>
              </w:rPr>
            </w:pPr>
          </w:p>
        </w:tc>
        <w:tc>
          <w:tcPr>
            <w:tcW w:w="1980" w:type="dxa"/>
          </w:tcPr>
          <w:p w14:paraId="7F2258E6">
            <w:pPr>
              <w:spacing w:line="360" w:lineRule="auto"/>
              <w:rPr>
                <w:color w:val="000000"/>
                <w:szCs w:val="21"/>
                <w:u w:val="single"/>
              </w:rPr>
            </w:pPr>
          </w:p>
        </w:tc>
        <w:tc>
          <w:tcPr>
            <w:tcW w:w="1832" w:type="dxa"/>
          </w:tcPr>
          <w:p w14:paraId="418A9473">
            <w:pPr>
              <w:spacing w:line="360" w:lineRule="auto"/>
              <w:rPr>
                <w:color w:val="000000"/>
                <w:szCs w:val="21"/>
                <w:u w:val="single"/>
              </w:rPr>
            </w:pPr>
          </w:p>
        </w:tc>
        <w:tc>
          <w:tcPr>
            <w:tcW w:w="1675" w:type="dxa"/>
          </w:tcPr>
          <w:p w14:paraId="240CD7C1">
            <w:pPr>
              <w:spacing w:line="360" w:lineRule="auto"/>
              <w:rPr>
                <w:color w:val="000000"/>
                <w:szCs w:val="21"/>
                <w:u w:val="single"/>
              </w:rPr>
            </w:pPr>
          </w:p>
        </w:tc>
        <w:tc>
          <w:tcPr>
            <w:tcW w:w="1673" w:type="dxa"/>
          </w:tcPr>
          <w:p w14:paraId="4060AB5B">
            <w:pPr>
              <w:spacing w:line="360" w:lineRule="auto"/>
              <w:rPr>
                <w:color w:val="000000"/>
                <w:szCs w:val="21"/>
                <w:u w:val="single"/>
              </w:rPr>
            </w:pPr>
          </w:p>
        </w:tc>
      </w:tr>
      <w:tr w14:paraId="7AC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9D551A1">
            <w:pPr>
              <w:spacing w:line="360" w:lineRule="auto"/>
              <w:rPr>
                <w:color w:val="000000"/>
                <w:szCs w:val="21"/>
                <w:u w:val="single"/>
              </w:rPr>
            </w:pPr>
          </w:p>
        </w:tc>
        <w:tc>
          <w:tcPr>
            <w:tcW w:w="1980" w:type="dxa"/>
          </w:tcPr>
          <w:p w14:paraId="02FA437C">
            <w:pPr>
              <w:spacing w:line="360" w:lineRule="auto"/>
              <w:rPr>
                <w:color w:val="000000"/>
                <w:szCs w:val="21"/>
                <w:u w:val="single"/>
              </w:rPr>
            </w:pPr>
          </w:p>
        </w:tc>
        <w:tc>
          <w:tcPr>
            <w:tcW w:w="1832" w:type="dxa"/>
          </w:tcPr>
          <w:p w14:paraId="5DEFC843">
            <w:pPr>
              <w:spacing w:line="360" w:lineRule="auto"/>
              <w:rPr>
                <w:color w:val="000000"/>
                <w:szCs w:val="21"/>
                <w:u w:val="single"/>
              </w:rPr>
            </w:pPr>
          </w:p>
        </w:tc>
        <w:tc>
          <w:tcPr>
            <w:tcW w:w="1675" w:type="dxa"/>
          </w:tcPr>
          <w:p w14:paraId="0E1CFA82">
            <w:pPr>
              <w:spacing w:line="360" w:lineRule="auto"/>
              <w:rPr>
                <w:color w:val="000000"/>
                <w:szCs w:val="21"/>
                <w:u w:val="single"/>
              </w:rPr>
            </w:pPr>
          </w:p>
        </w:tc>
        <w:tc>
          <w:tcPr>
            <w:tcW w:w="1673" w:type="dxa"/>
          </w:tcPr>
          <w:p w14:paraId="29089563">
            <w:pPr>
              <w:spacing w:line="360" w:lineRule="auto"/>
              <w:rPr>
                <w:color w:val="000000"/>
                <w:szCs w:val="21"/>
                <w:u w:val="single"/>
              </w:rPr>
            </w:pPr>
          </w:p>
        </w:tc>
      </w:tr>
      <w:tr w14:paraId="777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9F63992">
            <w:pPr>
              <w:spacing w:line="360" w:lineRule="auto"/>
              <w:rPr>
                <w:color w:val="000000"/>
                <w:szCs w:val="21"/>
                <w:u w:val="single"/>
              </w:rPr>
            </w:pPr>
          </w:p>
        </w:tc>
        <w:tc>
          <w:tcPr>
            <w:tcW w:w="1980" w:type="dxa"/>
          </w:tcPr>
          <w:p w14:paraId="0C099EEE">
            <w:pPr>
              <w:spacing w:line="360" w:lineRule="auto"/>
              <w:rPr>
                <w:color w:val="000000"/>
                <w:szCs w:val="21"/>
                <w:u w:val="single"/>
              </w:rPr>
            </w:pPr>
          </w:p>
        </w:tc>
        <w:tc>
          <w:tcPr>
            <w:tcW w:w="1832" w:type="dxa"/>
          </w:tcPr>
          <w:p w14:paraId="46432B1F">
            <w:pPr>
              <w:spacing w:line="360" w:lineRule="auto"/>
              <w:rPr>
                <w:color w:val="000000"/>
                <w:szCs w:val="21"/>
                <w:u w:val="single"/>
              </w:rPr>
            </w:pPr>
          </w:p>
        </w:tc>
        <w:tc>
          <w:tcPr>
            <w:tcW w:w="1675" w:type="dxa"/>
          </w:tcPr>
          <w:p w14:paraId="5524C29D">
            <w:pPr>
              <w:spacing w:line="360" w:lineRule="auto"/>
              <w:rPr>
                <w:color w:val="000000"/>
                <w:szCs w:val="21"/>
                <w:u w:val="single"/>
              </w:rPr>
            </w:pPr>
          </w:p>
        </w:tc>
        <w:tc>
          <w:tcPr>
            <w:tcW w:w="1673" w:type="dxa"/>
          </w:tcPr>
          <w:p w14:paraId="316D167C">
            <w:pPr>
              <w:spacing w:line="360" w:lineRule="auto"/>
              <w:rPr>
                <w:color w:val="000000"/>
                <w:szCs w:val="21"/>
                <w:u w:val="single"/>
              </w:rPr>
            </w:pPr>
          </w:p>
        </w:tc>
      </w:tr>
      <w:tr w14:paraId="1BA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281B4C9">
            <w:pPr>
              <w:spacing w:line="360" w:lineRule="auto"/>
              <w:rPr>
                <w:color w:val="000000"/>
                <w:szCs w:val="21"/>
                <w:u w:val="single"/>
              </w:rPr>
            </w:pPr>
          </w:p>
        </w:tc>
        <w:tc>
          <w:tcPr>
            <w:tcW w:w="1980" w:type="dxa"/>
          </w:tcPr>
          <w:p w14:paraId="427377AD">
            <w:pPr>
              <w:spacing w:line="360" w:lineRule="auto"/>
              <w:rPr>
                <w:color w:val="000000"/>
                <w:szCs w:val="21"/>
                <w:u w:val="single"/>
              </w:rPr>
            </w:pPr>
          </w:p>
        </w:tc>
        <w:tc>
          <w:tcPr>
            <w:tcW w:w="1832" w:type="dxa"/>
          </w:tcPr>
          <w:p w14:paraId="69BE95DC">
            <w:pPr>
              <w:spacing w:line="360" w:lineRule="auto"/>
              <w:rPr>
                <w:color w:val="000000"/>
                <w:szCs w:val="21"/>
                <w:u w:val="single"/>
              </w:rPr>
            </w:pPr>
          </w:p>
        </w:tc>
        <w:tc>
          <w:tcPr>
            <w:tcW w:w="1675" w:type="dxa"/>
          </w:tcPr>
          <w:p w14:paraId="1BF87BE1">
            <w:pPr>
              <w:spacing w:line="360" w:lineRule="auto"/>
              <w:rPr>
                <w:color w:val="000000"/>
                <w:szCs w:val="21"/>
                <w:u w:val="single"/>
              </w:rPr>
            </w:pPr>
          </w:p>
        </w:tc>
        <w:tc>
          <w:tcPr>
            <w:tcW w:w="1673" w:type="dxa"/>
          </w:tcPr>
          <w:p w14:paraId="13469ED0">
            <w:pPr>
              <w:spacing w:line="360" w:lineRule="auto"/>
              <w:rPr>
                <w:color w:val="000000"/>
                <w:szCs w:val="21"/>
                <w:u w:val="single"/>
              </w:rPr>
            </w:pPr>
          </w:p>
        </w:tc>
      </w:tr>
      <w:tr w14:paraId="02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51B4A91">
            <w:pPr>
              <w:spacing w:line="360" w:lineRule="auto"/>
              <w:rPr>
                <w:color w:val="000000"/>
                <w:szCs w:val="21"/>
                <w:u w:val="single"/>
              </w:rPr>
            </w:pPr>
          </w:p>
        </w:tc>
        <w:tc>
          <w:tcPr>
            <w:tcW w:w="1980" w:type="dxa"/>
          </w:tcPr>
          <w:p w14:paraId="7244AF5A">
            <w:pPr>
              <w:spacing w:line="360" w:lineRule="auto"/>
              <w:rPr>
                <w:color w:val="000000"/>
                <w:szCs w:val="21"/>
                <w:u w:val="single"/>
              </w:rPr>
            </w:pPr>
          </w:p>
        </w:tc>
        <w:tc>
          <w:tcPr>
            <w:tcW w:w="1832" w:type="dxa"/>
          </w:tcPr>
          <w:p w14:paraId="4B49EF43">
            <w:pPr>
              <w:spacing w:line="360" w:lineRule="auto"/>
              <w:rPr>
                <w:color w:val="000000"/>
                <w:szCs w:val="21"/>
                <w:u w:val="single"/>
              </w:rPr>
            </w:pPr>
          </w:p>
        </w:tc>
        <w:tc>
          <w:tcPr>
            <w:tcW w:w="1675" w:type="dxa"/>
          </w:tcPr>
          <w:p w14:paraId="51A79117">
            <w:pPr>
              <w:spacing w:line="360" w:lineRule="auto"/>
              <w:rPr>
                <w:color w:val="000000"/>
                <w:szCs w:val="21"/>
                <w:u w:val="single"/>
              </w:rPr>
            </w:pPr>
          </w:p>
        </w:tc>
        <w:tc>
          <w:tcPr>
            <w:tcW w:w="1673" w:type="dxa"/>
          </w:tcPr>
          <w:p w14:paraId="27057DEF">
            <w:pPr>
              <w:spacing w:line="360" w:lineRule="auto"/>
              <w:rPr>
                <w:color w:val="000000"/>
                <w:szCs w:val="21"/>
                <w:u w:val="single"/>
              </w:rPr>
            </w:pPr>
          </w:p>
        </w:tc>
      </w:tr>
      <w:tr w14:paraId="0F5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B93C92">
            <w:pPr>
              <w:spacing w:line="360" w:lineRule="auto"/>
              <w:rPr>
                <w:color w:val="000000"/>
                <w:szCs w:val="21"/>
                <w:u w:val="single"/>
              </w:rPr>
            </w:pPr>
          </w:p>
        </w:tc>
        <w:tc>
          <w:tcPr>
            <w:tcW w:w="1980" w:type="dxa"/>
          </w:tcPr>
          <w:p w14:paraId="547A2E19">
            <w:pPr>
              <w:spacing w:line="360" w:lineRule="auto"/>
              <w:rPr>
                <w:color w:val="000000"/>
                <w:szCs w:val="21"/>
                <w:u w:val="single"/>
              </w:rPr>
            </w:pPr>
          </w:p>
        </w:tc>
        <w:tc>
          <w:tcPr>
            <w:tcW w:w="1832" w:type="dxa"/>
          </w:tcPr>
          <w:p w14:paraId="44A19E2B">
            <w:pPr>
              <w:spacing w:line="360" w:lineRule="auto"/>
              <w:rPr>
                <w:color w:val="000000"/>
                <w:szCs w:val="21"/>
                <w:u w:val="single"/>
              </w:rPr>
            </w:pPr>
          </w:p>
        </w:tc>
        <w:tc>
          <w:tcPr>
            <w:tcW w:w="1675" w:type="dxa"/>
          </w:tcPr>
          <w:p w14:paraId="223E7404">
            <w:pPr>
              <w:spacing w:line="360" w:lineRule="auto"/>
              <w:rPr>
                <w:color w:val="000000"/>
                <w:szCs w:val="21"/>
                <w:u w:val="single"/>
              </w:rPr>
            </w:pPr>
          </w:p>
        </w:tc>
        <w:tc>
          <w:tcPr>
            <w:tcW w:w="1673" w:type="dxa"/>
          </w:tcPr>
          <w:p w14:paraId="3F54077A">
            <w:pPr>
              <w:spacing w:line="360" w:lineRule="auto"/>
              <w:rPr>
                <w:color w:val="000000"/>
                <w:szCs w:val="21"/>
                <w:u w:val="single"/>
              </w:rPr>
            </w:pPr>
          </w:p>
        </w:tc>
      </w:tr>
      <w:tr w14:paraId="612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1CE4A9B">
            <w:pPr>
              <w:spacing w:line="360" w:lineRule="auto"/>
              <w:rPr>
                <w:color w:val="000000"/>
                <w:szCs w:val="21"/>
                <w:u w:val="single"/>
              </w:rPr>
            </w:pPr>
          </w:p>
        </w:tc>
        <w:tc>
          <w:tcPr>
            <w:tcW w:w="1980" w:type="dxa"/>
          </w:tcPr>
          <w:p w14:paraId="4251A7DB">
            <w:pPr>
              <w:spacing w:line="360" w:lineRule="auto"/>
              <w:rPr>
                <w:color w:val="000000"/>
                <w:szCs w:val="21"/>
                <w:u w:val="single"/>
              </w:rPr>
            </w:pPr>
          </w:p>
        </w:tc>
        <w:tc>
          <w:tcPr>
            <w:tcW w:w="1832" w:type="dxa"/>
          </w:tcPr>
          <w:p w14:paraId="76487E71">
            <w:pPr>
              <w:spacing w:line="360" w:lineRule="auto"/>
              <w:rPr>
                <w:color w:val="000000"/>
                <w:szCs w:val="21"/>
                <w:u w:val="single"/>
              </w:rPr>
            </w:pPr>
          </w:p>
        </w:tc>
        <w:tc>
          <w:tcPr>
            <w:tcW w:w="1675" w:type="dxa"/>
          </w:tcPr>
          <w:p w14:paraId="05B9D119">
            <w:pPr>
              <w:spacing w:line="360" w:lineRule="auto"/>
              <w:rPr>
                <w:color w:val="000000"/>
                <w:szCs w:val="21"/>
                <w:u w:val="single"/>
              </w:rPr>
            </w:pPr>
          </w:p>
        </w:tc>
        <w:tc>
          <w:tcPr>
            <w:tcW w:w="1673" w:type="dxa"/>
          </w:tcPr>
          <w:p w14:paraId="7237EFC8">
            <w:pPr>
              <w:spacing w:line="360" w:lineRule="auto"/>
              <w:rPr>
                <w:color w:val="000000"/>
                <w:szCs w:val="21"/>
                <w:u w:val="single"/>
              </w:rPr>
            </w:pPr>
          </w:p>
        </w:tc>
      </w:tr>
      <w:tr w14:paraId="221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E25EEA2">
            <w:pPr>
              <w:spacing w:line="360" w:lineRule="auto"/>
              <w:rPr>
                <w:color w:val="000000"/>
                <w:szCs w:val="21"/>
                <w:u w:val="single"/>
              </w:rPr>
            </w:pPr>
          </w:p>
        </w:tc>
        <w:tc>
          <w:tcPr>
            <w:tcW w:w="1980" w:type="dxa"/>
          </w:tcPr>
          <w:p w14:paraId="1B77703F">
            <w:pPr>
              <w:spacing w:line="360" w:lineRule="auto"/>
              <w:rPr>
                <w:color w:val="000000"/>
                <w:szCs w:val="21"/>
                <w:u w:val="single"/>
              </w:rPr>
            </w:pPr>
          </w:p>
        </w:tc>
        <w:tc>
          <w:tcPr>
            <w:tcW w:w="1832" w:type="dxa"/>
          </w:tcPr>
          <w:p w14:paraId="58C633C6">
            <w:pPr>
              <w:spacing w:line="360" w:lineRule="auto"/>
              <w:rPr>
                <w:color w:val="000000"/>
                <w:szCs w:val="21"/>
                <w:u w:val="single"/>
              </w:rPr>
            </w:pPr>
          </w:p>
        </w:tc>
        <w:tc>
          <w:tcPr>
            <w:tcW w:w="1675" w:type="dxa"/>
          </w:tcPr>
          <w:p w14:paraId="2876A5F7">
            <w:pPr>
              <w:spacing w:line="360" w:lineRule="auto"/>
              <w:rPr>
                <w:color w:val="000000"/>
                <w:szCs w:val="21"/>
                <w:u w:val="single"/>
              </w:rPr>
            </w:pPr>
          </w:p>
        </w:tc>
        <w:tc>
          <w:tcPr>
            <w:tcW w:w="1673" w:type="dxa"/>
          </w:tcPr>
          <w:p w14:paraId="1A3E149E">
            <w:pPr>
              <w:spacing w:line="360" w:lineRule="auto"/>
              <w:rPr>
                <w:color w:val="000000"/>
                <w:szCs w:val="21"/>
                <w:u w:val="single"/>
              </w:rPr>
            </w:pPr>
          </w:p>
        </w:tc>
      </w:tr>
      <w:tr w14:paraId="13DE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F7DFBF">
            <w:pPr>
              <w:spacing w:line="360" w:lineRule="auto"/>
              <w:rPr>
                <w:color w:val="000000"/>
                <w:szCs w:val="21"/>
                <w:u w:val="single"/>
              </w:rPr>
            </w:pPr>
          </w:p>
        </w:tc>
        <w:tc>
          <w:tcPr>
            <w:tcW w:w="1980" w:type="dxa"/>
          </w:tcPr>
          <w:p w14:paraId="6BD22D56">
            <w:pPr>
              <w:spacing w:line="360" w:lineRule="auto"/>
              <w:rPr>
                <w:color w:val="000000"/>
                <w:szCs w:val="21"/>
                <w:u w:val="single"/>
              </w:rPr>
            </w:pPr>
          </w:p>
        </w:tc>
        <w:tc>
          <w:tcPr>
            <w:tcW w:w="1832" w:type="dxa"/>
          </w:tcPr>
          <w:p w14:paraId="5D1401F7">
            <w:pPr>
              <w:spacing w:line="360" w:lineRule="auto"/>
              <w:rPr>
                <w:color w:val="000000"/>
                <w:szCs w:val="21"/>
                <w:u w:val="single"/>
              </w:rPr>
            </w:pPr>
          </w:p>
        </w:tc>
        <w:tc>
          <w:tcPr>
            <w:tcW w:w="1675" w:type="dxa"/>
          </w:tcPr>
          <w:p w14:paraId="1E12389B">
            <w:pPr>
              <w:spacing w:line="360" w:lineRule="auto"/>
              <w:rPr>
                <w:color w:val="000000"/>
                <w:szCs w:val="21"/>
                <w:u w:val="single"/>
              </w:rPr>
            </w:pPr>
          </w:p>
        </w:tc>
        <w:tc>
          <w:tcPr>
            <w:tcW w:w="1673" w:type="dxa"/>
          </w:tcPr>
          <w:p w14:paraId="6EBFFB66">
            <w:pPr>
              <w:spacing w:line="360" w:lineRule="auto"/>
              <w:rPr>
                <w:color w:val="000000"/>
                <w:szCs w:val="21"/>
                <w:u w:val="single"/>
              </w:rPr>
            </w:pPr>
          </w:p>
        </w:tc>
      </w:tr>
    </w:tbl>
    <w:p w14:paraId="5C0589C8">
      <w:pPr>
        <w:spacing w:line="360" w:lineRule="auto"/>
        <w:rPr>
          <w:rFonts w:ascii="宋体" w:hAnsi="宋体"/>
          <w:color w:val="000000"/>
          <w:szCs w:val="21"/>
          <w:u w:val="single"/>
        </w:rPr>
      </w:pPr>
    </w:p>
    <w:p w14:paraId="4C95970D">
      <w:pPr>
        <w:spacing w:line="320" w:lineRule="exact"/>
        <w:rPr>
          <w:rFonts w:ascii="宋体" w:hAnsi="宋体"/>
          <w:color w:val="000000"/>
          <w:sz w:val="18"/>
          <w:szCs w:val="24"/>
        </w:rPr>
      </w:pPr>
      <w:r>
        <w:rPr>
          <w:rFonts w:ascii="宋体" w:hAnsi="宋体"/>
          <w:color w:val="000000"/>
          <w:sz w:val="18"/>
          <w:szCs w:val="24"/>
        </w:rPr>
        <w:t>填报说明：</w:t>
      </w:r>
    </w:p>
    <w:p w14:paraId="060ACCE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6D91AF0">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717C730">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79BBE89">
      <w:pPr>
        <w:spacing w:line="360" w:lineRule="auto"/>
        <w:rPr>
          <w:rFonts w:ascii="宋体" w:hAnsi="宋体"/>
          <w:color w:val="000000"/>
          <w:szCs w:val="21"/>
        </w:rPr>
      </w:pPr>
    </w:p>
    <w:p w14:paraId="77568C7B">
      <w:pPr>
        <w:spacing w:line="300" w:lineRule="auto"/>
        <w:rPr>
          <w:rFonts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C467BE4">
      <w:pPr>
        <w:spacing w:line="300" w:lineRule="auto"/>
        <w:rPr>
          <w:rFonts w:ascii="宋体" w:hAnsi="宋体"/>
          <w:bCs/>
          <w:sz w:val="24"/>
          <w:szCs w:val="24"/>
        </w:rPr>
      </w:pPr>
    </w:p>
    <w:p w14:paraId="6A5B2406">
      <w:pPr>
        <w:spacing w:line="300" w:lineRule="auto"/>
        <w:rPr>
          <w:rFonts w:ascii="宋体" w:hAnsi="宋体"/>
          <w:bCs/>
          <w:sz w:val="24"/>
          <w:szCs w:val="24"/>
        </w:rPr>
      </w:pPr>
    </w:p>
    <w:p w14:paraId="684EB676">
      <w:pPr>
        <w:spacing w:line="300" w:lineRule="auto"/>
        <w:rPr>
          <w:rFonts w:ascii="宋体" w:hAnsi="宋体"/>
          <w:bCs/>
          <w:sz w:val="24"/>
          <w:szCs w:val="24"/>
        </w:rPr>
      </w:pPr>
    </w:p>
    <w:p w14:paraId="4CB142D3">
      <w:pPr>
        <w:spacing w:line="300" w:lineRule="auto"/>
        <w:rPr>
          <w:rFonts w:ascii="宋体" w:hAnsi="宋体"/>
          <w:bCs/>
          <w:sz w:val="24"/>
          <w:szCs w:val="24"/>
        </w:rPr>
      </w:pPr>
    </w:p>
    <w:p w14:paraId="728A8FDB">
      <w:pPr>
        <w:spacing w:line="300" w:lineRule="auto"/>
        <w:rPr>
          <w:rFonts w:ascii="宋体" w:hAnsi="宋体"/>
          <w:bCs/>
          <w:sz w:val="24"/>
          <w:szCs w:val="24"/>
        </w:rPr>
      </w:pPr>
    </w:p>
    <w:p w14:paraId="0D600AC6">
      <w:pPr>
        <w:rPr>
          <w:rFonts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 xml:space="preserve"> 商务条款响应/偏离表格式</w:t>
      </w:r>
    </w:p>
    <w:p w14:paraId="336C7F69">
      <w:pPr>
        <w:spacing w:before="240" w:after="240"/>
        <w:jc w:val="center"/>
        <w:rPr>
          <w:rFonts w:eastAsia="黑体"/>
          <w:color w:val="000000"/>
          <w:sz w:val="30"/>
          <w:szCs w:val="30"/>
        </w:rPr>
      </w:pPr>
      <w:bookmarkStart w:id="7" w:name="_Toc211248420"/>
      <w:r>
        <w:rPr>
          <w:rFonts w:eastAsia="黑体"/>
          <w:color w:val="000000"/>
          <w:sz w:val="30"/>
          <w:szCs w:val="30"/>
        </w:rPr>
        <w:t>商务条款响应/偏离表</w:t>
      </w:r>
      <w:bookmarkEnd w:id="7"/>
    </w:p>
    <w:p w14:paraId="52105349">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bookmarkStart w:id="23" w:name="_GoBack"/>
      <w:bookmarkEnd w:id="23"/>
      <w:r>
        <w:rPr>
          <w:color w:val="000000"/>
          <w:szCs w:val="21"/>
        </w:rPr>
        <w:t>编号：</w:t>
      </w:r>
      <w:r>
        <w:rPr>
          <w:color w:val="000000"/>
          <w:szCs w:val="21"/>
          <w:u w:val="single"/>
        </w:rPr>
        <w:t xml:space="preserve">               </w:t>
      </w:r>
      <w:r>
        <w:rPr>
          <w:rFonts w:hint="eastAsia"/>
          <w:color w:val="000000"/>
          <w:szCs w:val="21"/>
          <w:u w:val="single"/>
        </w:rPr>
        <w:t xml:space="preserve">   </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7F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87CFC8B">
            <w:pPr>
              <w:jc w:val="center"/>
              <w:rPr>
                <w:color w:val="000000"/>
                <w:sz w:val="24"/>
                <w:szCs w:val="24"/>
              </w:rPr>
            </w:pPr>
            <w:r>
              <w:rPr>
                <w:color w:val="000000"/>
                <w:szCs w:val="24"/>
              </w:rPr>
              <w:t>需求名称</w:t>
            </w:r>
          </w:p>
        </w:tc>
        <w:tc>
          <w:tcPr>
            <w:tcW w:w="1980" w:type="dxa"/>
            <w:vAlign w:val="center"/>
          </w:tcPr>
          <w:p w14:paraId="2B166915">
            <w:pPr>
              <w:jc w:val="center"/>
              <w:rPr>
                <w:color w:val="000000"/>
                <w:sz w:val="24"/>
                <w:szCs w:val="24"/>
              </w:rPr>
            </w:pPr>
            <w:r>
              <w:rPr>
                <w:color w:val="000000"/>
                <w:szCs w:val="24"/>
              </w:rPr>
              <w:t>招标文件商务需求</w:t>
            </w:r>
          </w:p>
        </w:tc>
        <w:tc>
          <w:tcPr>
            <w:tcW w:w="1832" w:type="dxa"/>
            <w:vAlign w:val="center"/>
          </w:tcPr>
          <w:p w14:paraId="55396A74">
            <w:pPr>
              <w:jc w:val="center"/>
              <w:rPr>
                <w:color w:val="000000"/>
                <w:sz w:val="24"/>
                <w:szCs w:val="24"/>
              </w:rPr>
            </w:pPr>
            <w:r>
              <w:rPr>
                <w:color w:val="000000"/>
                <w:szCs w:val="24"/>
              </w:rPr>
              <w:t>投标人响应情况</w:t>
            </w:r>
          </w:p>
        </w:tc>
        <w:tc>
          <w:tcPr>
            <w:tcW w:w="1675" w:type="dxa"/>
            <w:vAlign w:val="center"/>
          </w:tcPr>
          <w:p w14:paraId="2896EC8E">
            <w:pPr>
              <w:jc w:val="center"/>
              <w:rPr>
                <w:color w:val="000000"/>
                <w:szCs w:val="24"/>
              </w:rPr>
            </w:pPr>
            <w:r>
              <w:rPr>
                <w:color w:val="000000"/>
                <w:szCs w:val="24"/>
              </w:rPr>
              <w:t>是否有偏离</w:t>
            </w:r>
          </w:p>
          <w:p w14:paraId="1A685DBB">
            <w:pPr>
              <w:jc w:val="center"/>
              <w:rPr>
                <w:color w:val="000000"/>
                <w:sz w:val="24"/>
                <w:szCs w:val="24"/>
              </w:rPr>
            </w:pPr>
            <w:r>
              <w:rPr>
                <w:color w:val="000000"/>
                <w:szCs w:val="24"/>
              </w:rPr>
              <w:t>（填写有/无）</w:t>
            </w:r>
          </w:p>
        </w:tc>
        <w:tc>
          <w:tcPr>
            <w:tcW w:w="1673" w:type="dxa"/>
            <w:vAlign w:val="center"/>
          </w:tcPr>
          <w:p w14:paraId="60C3A45D">
            <w:pPr>
              <w:jc w:val="center"/>
              <w:rPr>
                <w:color w:val="000000"/>
                <w:sz w:val="24"/>
                <w:szCs w:val="24"/>
              </w:rPr>
            </w:pPr>
            <w:r>
              <w:rPr>
                <w:color w:val="000000"/>
                <w:szCs w:val="24"/>
              </w:rPr>
              <w:t>偏离说明</w:t>
            </w:r>
          </w:p>
        </w:tc>
      </w:tr>
      <w:tr w14:paraId="7D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F8AE131">
            <w:pPr>
              <w:spacing w:line="360" w:lineRule="auto"/>
              <w:rPr>
                <w:rFonts w:ascii="宋体" w:hAnsi="宋体"/>
                <w:color w:val="000000"/>
                <w:szCs w:val="21"/>
                <w:u w:val="single"/>
              </w:rPr>
            </w:pPr>
          </w:p>
        </w:tc>
        <w:tc>
          <w:tcPr>
            <w:tcW w:w="1980" w:type="dxa"/>
          </w:tcPr>
          <w:p w14:paraId="0E0C131A">
            <w:pPr>
              <w:spacing w:line="360" w:lineRule="auto"/>
              <w:rPr>
                <w:color w:val="000000"/>
                <w:szCs w:val="21"/>
                <w:u w:val="single"/>
              </w:rPr>
            </w:pPr>
          </w:p>
        </w:tc>
        <w:tc>
          <w:tcPr>
            <w:tcW w:w="1832" w:type="dxa"/>
          </w:tcPr>
          <w:p w14:paraId="0DBA02C2">
            <w:pPr>
              <w:spacing w:line="360" w:lineRule="auto"/>
              <w:rPr>
                <w:color w:val="000000"/>
                <w:szCs w:val="21"/>
                <w:u w:val="single"/>
              </w:rPr>
            </w:pPr>
          </w:p>
        </w:tc>
        <w:tc>
          <w:tcPr>
            <w:tcW w:w="1675" w:type="dxa"/>
          </w:tcPr>
          <w:p w14:paraId="455A487D">
            <w:pPr>
              <w:spacing w:line="360" w:lineRule="auto"/>
              <w:rPr>
                <w:color w:val="000000"/>
                <w:szCs w:val="21"/>
                <w:u w:val="single"/>
              </w:rPr>
            </w:pPr>
          </w:p>
        </w:tc>
        <w:tc>
          <w:tcPr>
            <w:tcW w:w="1673" w:type="dxa"/>
          </w:tcPr>
          <w:p w14:paraId="04ECC0BA">
            <w:pPr>
              <w:spacing w:line="360" w:lineRule="auto"/>
              <w:rPr>
                <w:color w:val="000000"/>
                <w:szCs w:val="21"/>
                <w:u w:val="single"/>
              </w:rPr>
            </w:pPr>
          </w:p>
        </w:tc>
      </w:tr>
      <w:tr w14:paraId="214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3B25698">
            <w:pPr>
              <w:spacing w:line="360" w:lineRule="auto"/>
              <w:rPr>
                <w:color w:val="000000"/>
                <w:szCs w:val="21"/>
                <w:u w:val="single"/>
              </w:rPr>
            </w:pPr>
          </w:p>
        </w:tc>
        <w:tc>
          <w:tcPr>
            <w:tcW w:w="1980" w:type="dxa"/>
          </w:tcPr>
          <w:p w14:paraId="213E3062">
            <w:pPr>
              <w:spacing w:line="360" w:lineRule="auto"/>
              <w:rPr>
                <w:color w:val="000000"/>
                <w:szCs w:val="21"/>
                <w:u w:val="single"/>
              </w:rPr>
            </w:pPr>
          </w:p>
        </w:tc>
        <w:tc>
          <w:tcPr>
            <w:tcW w:w="1832" w:type="dxa"/>
          </w:tcPr>
          <w:p w14:paraId="5E9C5357">
            <w:pPr>
              <w:spacing w:line="360" w:lineRule="auto"/>
              <w:rPr>
                <w:color w:val="000000"/>
                <w:szCs w:val="21"/>
                <w:u w:val="single"/>
              </w:rPr>
            </w:pPr>
          </w:p>
        </w:tc>
        <w:tc>
          <w:tcPr>
            <w:tcW w:w="1675" w:type="dxa"/>
          </w:tcPr>
          <w:p w14:paraId="7CDBB349">
            <w:pPr>
              <w:spacing w:line="360" w:lineRule="auto"/>
              <w:rPr>
                <w:color w:val="000000"/>
                <w:szCs w:val="21"/>
                <w:u w:val="single"/>
              </w:rPr>
            </w:pPr>
          </w:p>
        </w:tc>
        <w:tc>
          <w:tcPr>
            <w:tcW w:w="1673" w:type="dxa"/>
          </w:tcPr>
          <w:p w14:paraId="4E82CFA8">
            <w:pPr>
              <w:spacing w:line="360" w:lineRule="auto"/>
              <w:rPr>
                <w:color w:val="000000"/>
                <w:szCs w:val="21"/>
                <w:u w:val="single"/>
              </w:rPr>
            </w:pPr>
          </w:p>
        </w:tc>
      </w:tr>
      <w:tr w14:paraId="765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CC73956">
            <w:pPr>
              <w:spacing w:line="360" w:lineRule="auto"/>
              <w:rPr>
                <w:color w:val="000000"/>
                <w:szCs w:val="21"/>
                <w:u w:val="single"/>
              </w:rPr>
            </w:pPr>
          </w:p>
        </w:tc>
        <w:tc>
          <w:tcPr>
            <w:tcW w:w="1980" w:type="dxa"/>
          </w:tcPr>
          <w:p w14:paraId="681F916D">
            <w:pPr>
              <w:spacing w:line="360" w:lineRule="auto"/>
              <w:rPr>
                <w:color w:val="000000"/>
                <w:szCs w:val="21"/>
                <w:u w:val="single"/>
              </w:rPr>
            </w:pPr>
          </w:p>
        </w:tc>
        <w:tc>
          <w:tcPr>
            <w:tcW w:w="1832" w:type="dxa"/>
          </w:tcPr>
          <w:p w14:paraId="18D8E67F">
            <w:pPr>
              <w:spacing w:line="360" w:lineRule="auto"/>
              <w:rPr>
                <w:color w:val="000000"/>
                <w:szCs w:val="21"/>
                <w:u w:val="single"/>
              </w:rPr>
            </w:pPr>
          </w:p>
        </w:tc>
        <w:tc>
          <w:tcPr>
            <w:tcW w:w="1675" w:type="dxa"/>
          </w:tcPr>
          <w:p w14:paraId="76DE2E58">
            <w:pPr>
              <w:spacing w:line="360" w:lineRule="auto"/>
              <w:rPr>
                <w:color w:val="000000"/>
                <w:szCs w:val="21"/>
                <w:u w:val="single"/>
              </w:rPr>
            </w:pPr>
          </w:p>
        </w:tc>
        <w:tc>
          <w:tcPr>
            <w:tcW w:w="1673" w:type="dxa"/>
          </w:tcPr>
          <w:p w14:paraId="54661C3A">
            <w:pPr>
              <w:spacing w:line="360" w:lineRule="auto"/>
              <w:rPr>
                <w:color w:val="000000"/>
                <w:szCs w:val="21"/>
                <w:u w:val="single"/>
              </w:rPr>
            </w:pPr>
          </w:p>
        </w:tc>
      </w:tr>
      <w:tr w14:paraId="3C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1C7E048">
            <w:pPr>
              <w:spacing w:line="360" w:lineRule="auto"/>
              <w:rPr>
                <w:color w:val="000000"/>
                <w:szCs w:val="21"/>
                <w:u w:val="single"/>
              </w:rPr>
            </w:pPr>
          </w:p>
        </w:tc>
        <w:tc>
          <w:tcPr>
            <w:tcW w:w="1980" w:type="dxa"/>
          </w:tcPr>
          <w:p w14:paraId="5E12AB4F">
            <w:pPr>
              <w:spacing w:line="360" w:lineRule="auto"/>
              <w:rPr>
                <w:color w:val="000000"/>
                <w:szCs w:val="21"/>
                <w:u w:val="single"/>
              </w:rPr>
            </w:pPr>
          </w:p>
        </w:tc>
        <w:tc>
          <w:tcPr>
            <w:tcW w:w="1832" w:type="dxa"/>
          </w:tcPr>
          <w:p w14:paraId="354EC5E1">
            <w:pPr>
              <w:spacing w:line="360" w:lineRule="auto"/>
              <w:rPr>
                <w:color w:val="000000"/>
                <w:szCs w:val="21"/>
                <w:u w:val="single"/>
              </w:rPr>
            </w:pPr>
          </w:p>
        </w:tc>
        <w:tc>
          <w:tcPr>
            <w:tcW w:w="1675" w:type="dxa"/>
          </w:tcPr>
          <w:p w14:paraId="182F94DB">
            <w:pPr>
              <w:spacing w:line="360" w:lineRule="auto"/>
              <w:rPr>
                <w:color w:val="000000"/>
                <w:szCs w:val="21"/>
                <w:u w:val="single"/>
              </w:rPr>
            </w:pPr>
          </w:p>
        </w:tc>
        <w:tc>
          <w:tcPr>
            <w:tcW w:w="1673" w:type="dxa"/>
          </w:tcPr>
          <w:p w14:paraId="0B020B3B">
            <w:pPr>
              <w:spacing w:line="360" w:lineRule="auto"/>
              <w:rPr>
                <w:color w:val="000000"/>
                <w:szCs w:val="21"/>
                <w:u w:val="single"/>
              </w:rPr>
            </w:pPr>
          </w:p>
        </w:tc>
      </w:tr>
      <w:tr w14:paraId="386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EC24073">
            <w:pPr>
              <w:spacing w:line="360" w:lineRule="auto"/>
              <w:rPr>
                <w:color w:val="000000"/>
                <w:szCs w:val="21"/>
                <w:u w:val="single"/>
              </w:rPr>
            </w:pPr>
          </w:p>
        </w:tc>
        <w:tc>
          <w:tcPr>
            <w:tcW w:w="1980" w:type="dxa"/>
          </w:tcPr>
          <w:p w14:paraId="1E078011">
            <w:pPr>
              <w:spacing w:line="360" w:lineRule="auto"/>
              <w:rPr>
                <w:color w:val="000000"/>
                <w:szCs w:val="21"/>
                <w:u w:val="single"/>
              </w:rPr>
            </w:pPr>
          </w:p>
        </w:tc>
        <w:tc>
          <w:tcPr>
            <w:tcW w:w="1832" w:type="dxa"/>
          </w:tcPr>
          <w:p w14:paraId="3CF0D68A">
            <w:pPr>
              <w:spacing w:line="360" w:lineRule="auto"/>
              <w:rPr>
                <w:color w:val="000000"/>
                <w:szCs w:val="21"/>
                <w:u w:val="single"/>
              </w:rPr>
            </w:pPr>
          </w:p>
        </w:tc>
        <w:tc>
          <w:tcPr>
            <w:tcW w:w="1675" w:type="dxa"/>
          </w:tcPr>
          <w:p w14:paraId="110F8EEA">
            <w:pPr>
              <w:spacing w:line="360" w:lineRule="auto"/>
              <w:rPr>
                <w:color w:val="000000"/>
                <w:szCs w:val="21"/>
                <w:u w:val="single"/>
              </w:rPr>
            </w:pPr>
          </w:p>
        </w:tc>
        <w:tc>
          <w:tcPr>
            <w:tcW w:w="1673" w:type="dxa"/>
          </w:tcPr>
          <w:p w14:paraId="2944625D">
            <w:pPr>
              <w:spacing w:line="360" w:lineRule="auto"/>
              <w:rPr>
                <w:color w:val="000000"/>
                <w:szCs w:val="21"/>
                <w:u w:val="single"/>
              </w:rPr>
            </w:pPr>
          </w:p>
        </w:tc>
      </w:tr>
      <w:tr w14:paraId="67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830E5B6">
            <w:pPr>
              <w:spacing w:line="360" w:lineRule="auto"/>
              <w:rPr>
                <w:color w:val="000000"/>
                <w:szCs w:val="21"/>
                <w:u w:val="single"/>
              </w:rPr>
            </w:pPr>
          </w:p>
        </w:tc>
        <w:tc>
          <w:tcPr>
            <w:tcW w:w="1980" w:type="dxa"/>
          </w:tcPr>
          <w:p w14:paraId="3F82B8CF">
            <w:pPr>
              <w:spacing w:line="360" w:lineRule="auto"/>
              <w:rPr>
                <w:color w:val="000000"/>
                <w:szCs w:val="21"/>
                <w:u w:val="single"/>
              </w:rPr>
            </w:pPr>
          </w:p>
        </w:tc>
        <w:tc>
          <w:tcPr>
            <w:tcW w:w="1832" w:type="dxa"/>
          </w:tcPr>
          <w:p w14:paraId="2D5CF49C">
            <w:pPr>
              <w:spacing w:line="360" w:lineRule="auto"/>
              <w:rPr>
                <w:color w:val="000000"/>
                <w:szCs w:val="21"/>
                <w:u w:val="single"/>
              </w:rPr>
            </w:pPr>
          </w:p>
        </w:tc>
        <w:tc>
          <w:tcPr>
            <w:tcW w:w="1675" w:type="dxa"/>
          </w:tcPr>
          <w:p w14:paraId="70EE3A71">
            <w:pPr>
              <w:spacing w:line="360" w:lineRule="auto"/>
              <w:rPr>
                <w:color w:val="000000"/>
                <w:szCs w:val="21"/>
                <w:u w:val="single"/>
              </w:rPr>
            </w:pPr>
          </w:p>
        </w:tc>
        <w:tc>
          <w:tcPr>
            <w:tcW w:w="1673" w:type="dxa"/>
          </w:tcPr>
          <w:p w14:paraId="1A5451E9">
            <w:pPr>
              <w:spacing w:line="360" w:lineRule="auto"/>
              <w:rPr>
                <w:color w:val="000000"/>
                <w:szCs w:val="21"/>
                <w:u w:val="single"/>
              </w:rPr>
            </w:pPr>
          </w:p>
        </w:tc>
      </w:tr>
      <w:tr w14:paraId="32E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0B2010">
            <w:pPr>
              <w:spacing w:line="360" w:lineRule="auto"/>
              <w:rPr>
                <w:color w:val="000000"/>
                <w:szCs w:val="21"/>
                <w:u w:val="single"/>
              </w:rPr>
            </w:pPr>
          </w:p>
        </w:tc>
        <w:tc>
          <w:tcPr>
            <w:tcW w:w="1980" w:type="dxa"/>
          </w:tcPr>
          <w:p w14:paraId="34BCD32F">
            <w:pPr>
              <w:spacing w:line="360" w:lineRule="auto"/>
              <w:rPr>
                <w:color w:val="000000"/>
                <w:szCs w:val="21"/>
                <w:u w:val="single"/>
              </w:rPr>
            </w:pPr>
          </w:p>
        </w:tc>
        <w:tc>
          <w:tcPr>
            <w:tcW w:w="1832" w:type="dxa"/>
          </w:tcPr>
          <w:p w14:paraId="15114656">
            <w:pPr>
              <w:spacing w:line="360" w:lineRule="auto"/>
              <w:rPr>
                <w:color w:val="000000"/>
                <w:szCs w:val="21"/>
                <w:u w:val="single"/>
              </w:rPr>
            </w:pPr>
          </w:p>
        </w:tc>
        <w:tc>
          <w:tcPr>
            <w:tcW w:w="1675" w:type="dxa"/>
          </w:tcPr>
          <w:p w14:paraId="1F0C04E8">
            <w:pPr>
              <w:spacing w:line="360" w:lineRule="auto"/>
              <w:rPr>
                <w:color w:val="000000"/>
                <w:szCs w:val="21"/>
                <w:u w:val="single"/>
              </w:rPr>
            </w:pPr>
          </w:p>
        </w:tc>
        <w:tc>
          <w:tcPr>
            <w:tcW w:w="1673" w:type="dxa"/>
          </w:tcPr>
          <w:p w14:paraId="4A8A9581">
            <w:pPr>
              <w:spacing w:line="360" w:lineRule="auto"/>
              <w:rPr>
                <w:color w:val="000000"/>
                <w:szCs w:val="21"/>
                <w:u w:val="single"/>
              </w:rPr>
            </w:pPr>
          </w:p>
        </w:tc>
      </w:tr>
      <w:tr w14:paraId="7BF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EA6A6B9">
            <w:pPr>
              <w:spacing w:line="360" w:lineRule="auto"/>
              <w:rPr>
                <w:color w:val="000000"/>
                <w:szCs w:val="21"/>
                <w:u w:val="single"/>
              </w:rPr>
            </w:pPr>
          </w:p>
        </w:tc>
        <w:tc>
          <w:tcPr>
            <w:tcW w:w="1980" w:type="dxa"/>
          </w:tcPr>
          <w:p w14:paraId="244FF4BD">
            <w:pPr>
              <w:spacing w:line="360" w:lineRule="auto"/>
              <w:rPr>
                <w:color w:val="000000"/>
                <w:szCs w:val="21"/>
                <w:u w:val="single"/>
              </w:rPr>
            </w:pPr>
          </w:p>
        </w:tc>
        <w:tc>
          <w:tcPr>
            <w:tcW w:w="1832" w:type="dxa"/>
          </w:tcPr>
          <w:p w14:paraId="07AD97D4">
            <w:pPr>
              <w:spacing w:line="360" w:lineRule="auto"/>
              <w:rPr>
                <w:color w:val="000000"/>
                <w:szCs w:val="21"/>
                <w:u w:val="single"/>
              </w:rPr>
            </w:pPr>
          </w:p>
        </w:tc>
        <w:tc>
          <w:tcPr>
            <w:tcW w:w="1675" w:type="dxa"/>
          </w:tcPr>
          <w:p w14:paraId="6DF94DB4">
            <w:pPr>
              <w:spacing w:line="360" w:lineRule="auto"/>
              <w:rPr>
                <w:color w:val="000000"/>
                <w:szCs w:val="21"/>
                <w:u w:val="single"/>
              </w:rPr>
            </w:pPr>
          </w:p>
        </w:tc>
        <w:tc>
          <w:tcPr>
            <w:tcW w:w="1673" w:type="dxa"/>
          </w:tcPr>
          <w:p w14:paraId="561F890F">
            <w:pPr>
              <w:spacing w:line="360" w:lineRule="auto"/>
              <w:rPr>
                <w:color w:val="000000"/>
                <w:szCs w:val="21"/>
                <w:u w:val="single"/>
              </w:rPr>
            </w:pPr>
          </w:p>
        </w:tc>
      </w:tr>
      <w:tr w14:paraId="5FB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C538782">
            <w:pPr>
              <w:spacing w:line="360" w:lineRule="auto"/>
              <w:rPr>
                <w:color w:val="000000"/>
                <w:szCs w:val="21"/>
                <w:u w:val="single"/>
              </w:rPr>
            </w:pPr>
          </w:p>
        </w:tc>
        <w:tc>
          <w:tcPr>
            <w:tcW w:w="1980" w:type="dxa"/>
          </w:tcPr>
          <w:p w14:paraId="0E6EE245">
            <w:pPr>
              <w:spacing w:line="360" w:lineRule="auto"/>
              <w:rPr>
                <w:color w:val="000000"/>
                <w:szCs w:val="21"/>
                <w:u w:val="single"/>
              </w:rPr>
            </w:pPr>
          </w:p>
        </w:tc>
        <w:tc>
          <w:tcPr>
            <w:tcW w:w="1832" w:type="dxa"/>
          </w:tcPr>
          <w:p w14:paraId="75571502">
            <w:pPr>
              <w:spacing w:line="360" w:lineRule="auto"/>
              <w:rPr>
                <w:color w:val="000000"/>
                <w:szCs w:val="21"/>
                <w:u w:val="single"/>
              </w:rPr>
            </w:pPr>
          </w:p>
        </w:tc>
        <w:tc>
          <w:tcPr>
            <w:tcW w:w="1675" w:type="dxa"/>
          </w:tcPr>
          <w:p w14:paraId="7C2313AB">
            <w:pPr>
              <w:spacing w:line="360" w:lineRule="auto"/>
              <w:rPr>
                <w:color w:val="000000"/>
                <w:szCs w:val="21"/>
                <w:u w:val="single"/>
              </w:rPr>
            </w:pPr>
          </w:p>
        </w:tc>
        <w:tc>
          <w:tcPr>
            <w:tcW w:w="1673" w:type="dxa"/>
          </w:tcPr>
          <w:p w14:paraId="7274E544">
            <w:pPr>
              <w:spacing w:line="360" w:lineRule="auto"/>
              <w:rPr>
                <w:color w:val="000000"/>
                <w:szCs w:val="21"/>
                <w:u w:val="single"/>
              </w:rPr>
            </w:pPr>
          </w:p>
        </w:tc>
      </w:tr>
      <w:tr w14:paraId="59A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3293D64">
            <w:pPr>
              <w:spacing w:line="360" w:lineRule="auto"/>
              <w:rPr>
                <w:color w:val="000000"/>
                <w:szCs w:val="21"/>
                <w:u w:val="single"/>
              </w:rPr>
            </w:pPr>
          </w:p>
        </w:tc>
        <w:tc>
          <w:tcPr>
            <w:tcW w:w="1980" w:type="dxa"/>
          </w:tcPr>
          <w:p w14:paraId="25C8784D">
            <w:pPr>
              <w:spacing w:line="360" w:lineRule="auto"/>
              <w:rPr>
                <w:color w:val="000000"/>
                <w:szCs w:val="21"/>
                <w:u w:val="single"/>
              </w:rPr>
            </w:pPr>
          </w:p>
        </w:tc>
        <w:tc>
          <w:tcPr>
            <w:tcW w:w="1832" w:type="dxa"/>
          </w:tcPr>
          <w:p w14:paraId="7101744E">
            <w:pPr>
              <w:spacing w:line="360" w:lineRule="auto"/>
              <w:rPr>
                <w:color w:val="000000"/>
                <w:szCs w:val="21"/>
                <w:u w:val="single"/>
              </w:rPr>
            </w:pPr>
          </w:p>
        </w:tc>
        <w:tc>
          <w:tcPr>
            <w:tcW w:w="1675" w:type="dxa"/>
          </w:tcPr>
          <w:p w14:paraId="496AB247">
            <w:pPr>
              <w:spacing w:line="360" w:lineRule="auto"/>
              <w:rPr>
                <w:color w:val="000000"/>
                <w:szCs w:val="21"/>
                <w:u w:val="single"/>
              </w:rPr>
            </w:pPr>
          </w:p>
        </w:tc>
        <w:tc>
          <w:tcPr>
            <w:tcW w:w="1673" w:type="dxa"/>
          </w:tcPr>
          <w:p w14:paraId="43D104E5">
            <w:pPr>
              <w:spacing w:line="360" w:lineRule="auto"/>
              <w:rPr>
                <w:color w:val="000000"/>
                <w:szCs w:val="21"/>
                <w:u w:val="single"/>
              </w:rPr>
            </w:pPr>
          </w:p>
        </w:tc>
      </w:tr>
      <w:tr w14:paraId="5EE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7251FB6">
            <w:pPr>
              <w:spacing w:line="360" w:lineRule="auto"/>
              <w:rPr>
                <w:color w:val="000000"/>
                <w:szCs w:val="21"/>
                <w:u w:val="single"/>
              </w:rPr>
            </w:pPr>
          </w:p>
        </w:tc>
        <w:tc>
          <w:tcPr>
            <w:tcW w:w="1980" w:type="dxa"/>
          </w:tcPr>
          <w:p w14:paraId="6FE87EA4">
            <w:pPr>
              <w:spacing w:line="360" w:lineRule="auto"/>
              <w:rPr>
                <w:color w:val="000000"/>
                <w:szCs w:val="21"/>
                <w:u w:val="single"/>
              </w:rPr>
            </w:pPr>
          </w:p>
        </w:tc>
        <w:tc>
          <w:tcPr>
            <w:tcW w:w="1832" w:type="dxa"/>
          </w:tcPr>
          <w:p w14:paraId="6341470F">
            <w:pPr>
              <w:spacing w:line="360" w:lineRule="auto"/>
              <w:rPr>
                <w:color w:val="000000"/>
                <w:szCs w:val="21"/>
                <w:u w:val="single"/>
              </w:rPr>
            </w:pPr>
          </w:p>
        </w:tc>
        <w:tc>
          <w:tcPr>
            <w:tcW w:w="1675" w:type="dxa"/>
          </w:tcPr>
          <w:p w14:paraId="4DAA7B61">
            <w:pPr>
              <w:spacing w:line="360" w:lineRule="auto"/>
              <w:rPr>
                <w:color w:val="000000"/>
                <w:szCs w:val="21"/>
                <w:u w:val="single"/>
              </w:rPr>
            </w:pPr>
          </w:p>
        </w:tc>
        <w:tc>
          <w:tcPr>
            <w:tcW w:w="1673" w:type="dxa"/>
          </w:tcPr>
          <w:p w14:paraId="24E40620">
            <w:pPr>
              <w:spacing w:line="360" w:lineRule="auto"/>
              <w:rPr>
                <w:color w:val="000000"/>
                <w:szCs w:val="21"/>
                <w:u w:val="single"/>
              </w:rPr>
            </w:pPr>
          </w:p>
        </w:tc>
      </w:tr>
      <w:tr w14:paraId="6F3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A7609B7">
            <w:pPr>
              <w:spacing w:line="360" w:lineRule="auto"/>
              <w:rPr>
                <w:color w:val="000000"/>
                <w:szCs w:val="21"/>
                <w:u w:val="single"/>
              </w:rPr>
            </w:pPr>
          </w:p>
        </w:tc>
        <w:tc>
          <w:tcPr>
            <w:tcW w:w="1980" w:type="dxa"/>
          </w:tcPr>
          <w:p w14:paraId="56C9074B">
            <w:pPr>
              <w:spacing w:line="360" w:lineRule="auto"/>
              <w:rPr>
                <w:color w:val="000000"/>
                <w:szCs w:val="21"/>
                <w:u w:val="single"/>
              </w:rPr>
            </w:pPr>
          </w:p>
        </w:tc>
        <w:tc>
          <w:tcPr>
            <w:tcW w:w="1832" w:type="dxa"/>
          </w:tcPr>
          <w:p w14:paraId="3C7480DC">
            <w:pPr>
              <w:spacing w:line="360" w:lineRule="auto"/>
              <w:rPr>
                <w:color w:val="000000"/>
                <w:szCs w:val="21"/>
                <w:u w:val="single"/>
              </w:rPr>
            </w:pPr>
          </w:p>
        </w:tc>
        <w:tc>
          <w:tcPr>
            <w:tcW w:w="1675" w:type="dxa"/>
          </w:tcPr>
          <w:p w14:paraId="06147384">
            <w:pPr>
              <w:spacing w:line="360" w:lineRule="auto"/>
              <w:rPr>
                <w:color w:val="000000"/>
                <w:szCs w:val="21"/>
                <w:u w:val="single"/>
              </w:rPr>
            </w:pPr>
          </w:p>
        </w:tc>
        <w:tc>
          <w:tcPr>
            <w:tcW w:w="1673" w:type="dxa"/>
          </w:tcPr>
          <w:p w14:paraId="1774D0E8">
            <w:pPr>
              <w:spacing w:line="360" w:lineRule="auto"/>
              <w:rPr>
                <w:color w:val="000000"/>
                <w:szCs w:val="21"/>
                <w:u w:val="single"/>
              </w:rPr>
            </w:pPr>
          </w:p>
        </w:tc>
      </w:tr>
      <w:tr w14:paraId="48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FE7631">
            <w:pPr>
              <w:spacing w:line="360" w:lineRule="auto"/>
              <w:rPr>
                <w:color w:val="000000"/>
                <w:szCs w:val="21"/>
                <w:u w:val="single"/>
              </w:rPr>
            </w:pPr>
          </w:p>
        </w:tc>
        <w:tc>
          <w:tcPr>
            <w:tcW w:w="1980" w:type="dxa"/>
          </w:tcPr>
          <w:p w14:paraId="398E3664">
            <w:pPr>
              <w:spacing w:line="360" w:lineRule="auto"/>
              <w:rPr>
                <w:color w:val="000000"/>
                <w:szCs w:val="21"/>
                <w:u w:val="single"/>
              </w:rPr>
            </w:pPr>
          </w:p>
        </w:tc>
        <w:tc>
          <w:tcPr>
            <w:tcW w:w="1832" w:type="dxa"/>
          </w:tcPr>
          <w:p w14:paraId="00A4E6B4">
            <w:pPr>
              <w:spacing w:line="360" w:lineRule="auto"/>
              <w:rPr>
                <w:color w:val="000000"/>
                <w:szCs w:val="21"/>
                <w:u w:val="single"/>
              </w:rPr>
            </w:pPr>
          </w:p>
        </w:tc>
        <w:tc>
          <w:tcPr>
            <w:tcW w:w="1675" w:type="dxa"/>
          </w:tcPr>
          <w:p w14:paraId="7B92359D">
            <w:pPr>
              <w:spacing w:line="360" w:lineRule="auto"/>
              <w:rPr>
                <w:color w:val="000000"/>
                <w:szCs w:val="21"/>
                <w:u w:val="single"/>
              </w:rPr>
            </w:pPr>
          </w:p>
        </w:tc>
        <w:tc>
          <w:tcPr>
            <w:tcW w:w="1673" w:type="dxa"/>
          </w:tcPr>
          <w:p w14:paraId="116685E7">
            <w:pPr>
              <w:spacing w:line="360" w:lineRule="auto"/>
              <w:rPr>
                <w:color w:val="000000"/>
                <w:szCs w:val="21"/>
                <w:u w:val="single"/>
              </w:rPr>
            </w:pPr>
          </w:p>
        </w:tc>
      </w:tr>
      <w:tr w14:paraId="187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4681529">
            <w:pPr>
              <w:spacing w:line="360" w:lineRule="auto"/>
              <w:rPr>
                <w:color w:val="000000"/>
                <w:szCs w:val="21"/>
                <w:u w:val="single"/>
              </w:rPr>
            </w:pPr>
          </w:p>
        </w:tc>
        <w:tc>
          <w:tcPr>
            <w:tcW w:w="1980" w:type="dxa"/>
          </w:tcPr>
          <w:p w14:paraId="1F6C92B6">
            <w:pPr>
              <w:spacing w:line="360" w:lineRule="auto"/>
              <w:rPr>
                <w:color w:val="000000"/>
                <w:szCs w:val="21"/>
                <w:u w:val="single"/>
              </w:rPr>
            </w:pPr>
          </w:p>
        </w:tc>
        <w:tc>
          <w:tcPr>
            <w:tcW w:w="1832" w:type="dxa"/>
          </w:tcPr>
          <w:p w14:paraId="347D6A50">
            <w:pPr>
              <w:spacing w:line="360" w:lineRule="auto"/>
              <w:rPr>
                <w:color w:val="000000"/>
                <w:szCs w:val="21"/>
                <w:u w:val="single"/>
              </w:rPr>
            </w:pPr>
          </w:p>
        </w:tc>
        <w:tc>
          <w:tcPr>
            <w:tcW w:w="1675" w:type="dxa"/>
          </w:tcPr>
          <w:p w14:paraId="17DDB9E3">
            <w:pPr>
              <w:spacing w:line="360" w:lineRule="auto"/>
              <w:rPr>
                <w:color w:val="000000"/>
                <w:szCs w:val="21"/>
                <w:u w:val="single"/>
              </w:rPr>
            </w:pPr>
          </w:p>
        </w:tc>
        <w:tc>
          <w:tcPr>
            <w:tcW w:w="1673" w:type="dxa"/>
          </w:tcPr>
          <w:p w14:paraId="33F8D86C">
            <w:pPr>
              <w:spacing w:line="360" w:lineRule="auto"/>
              <w:rPr>
                <w:color w:val="000000"/>
                <w:szCs w:val="21"/>
                <w:u w:val="single"/>
              </w:rPr>
            </w:pPr>
          </w:p>
        </w:tc>
      </w:tr>
      <w:tr w14:paraId="59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9BD72D9">
            <w:pPr>
              <w:spacing w:line="360" w:lineRule="auto"/>
              <w:rPr>
                <w:color w:val="000000"/>
                <w:szCs w:val="21"/>
                <w:u w:val="single"/>
              </w:rPr>
            </w:pPr>
          </w:p>
        </w:tc>
        <w:tc>
          <w:tcPr>
            <w:tcW w:w="1980" w:type="dxa"/>
          </w:tcPr>
          <w:p w14:paraId="2F6E4361">
            <w:pPr>
              <w:spacing w:line="360" w:lineRule="auto"/>
              <w:rPr>
                <w:color w:val="000000"/>
                <w:szCs w:val="21"/>
                <w:u w:val="single"/>
              </w:rPr>
            </w:pPr>
          </w:p>
        </w:tc>
        <w:tc>
          <w:tcPr>
            <w:tcW w:w="1832" w:type="dxa"/>
          </w:tcPr>
          <w:p w14:paraId="5CC0255D">
            <w:pPr>
              <w:spacing w:line="360" w:lineRule="auto"/>
              <w:rPr>
                <w:color w:val="000000"/>
                <w:szCs w:val="21"/>
                <w:u w:val="single"/>
              </w:rPr>
            </w:pPr>
          </w:p>
        </w:tc>
        <w:tc>
          <w:tcPr>
            <w:tcW w:w="1675" w:type="dxa"/>
          </w:tcPr>
          <w:p w14:paraId="503A741D">
            <w:pPr>
              <w:spacing w:line="360" w:lineRule="auto"/>
              <w:rPr>
                <w:color w:val="000000"/>
                <w:szCs w:val="21"/>
                <w:u w:val="single"/>
              </w:rPr>
            </w:pPr>
          </w:p>
        </w:tc>
        <w:tc>
          <w:tcPr>
            <w:tcW w:w="1673" w:type="dxa"/>
          </w:tcPr>
          <w:p w14:paraId="11037FB5">
            <w:pPr>
              <w:spacing w:line="360" w:lineRule="auto"/>
              <w:rPr>
                <w:color w:val="000000"/>
                <w:szCs w:val="21"/>
                <w:u w:val="single"/>
              </w:rPr>
            </w:pPr>
          </w:p>
        </w:tc>
      </w:tr>
      <w:tr w14:paraId="3E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75033D4">
            <w:pPr>
              <w:spacing w:line="360" w:lineRule="auto"/>
              <w:rPr>
                <w:color w:val="000000"/>
                <w:szCs w:val="21"/>
                <w:u w:val="single"/>
              </w:rPr>
            </w:pPr>
          </w:p>
        </w:tc>
        <w:tc>
          <w:tcPr>
            <w:tcW w:w="1980" w:type="dxa"/>
          </w:tcPr>
          <w:p w14:paraId="7C4B7FAB">
            <w:pPr>
              <w:spacing w:line="360" w:lineRule="auto"/>
              <w:rPr>
                <w:color w:val="000000"/>
                <w:szCs w:val="21"/>
                <w:u w:val="single"/>
              </w:rPr>
            </w:pPr>
          </w:p>
        </w:tc>
        <w:tc>
          <w:tcPr>
            <w:tcW w:w="1832" w:type="dxa"/>
          </w:tcPr>
          <w:p w14:paraId="4D279309">
            <w:pPr>
              <w:spacing w:line="360" w:lineRule="auto"/>
              <w:rPr>
                <w:color w:val="000000"/>
                <w:szCs w:val="21"/>
                <w:u w:val="single"/>
              </w:rPr>
            </w:pPr>
          </w:p>
        </w:tc>
        <w:tc>
          <w:tcPr>
            <w:tcW w:w="1675" w:type="dxa"/>
          </w:tcPr>
          <w:p w14:paraId="605A4802">
            <w:pPr>
              <w:spacing w:line="360" w:lineRule="auto"/>
              <w:rPr>
                <w:color w:val="000000"/>
                <w:szCs w:val="21"/>
                <w:u w:val="single"/>
              </w:rPr>
            </w:pPr>
          </w:p>
        </w:tc>
        <w:tc>
          <w:tcPr>
            <w:tcW w:w="1673" w:type="dxa"/>
          </w:tcPr>
          <w:p w14:paraId="74543D76">
            <w:pPr>
              <w:spacing w:line="360" w:lineRule="auto"/>
              <w:rPr>
                <w:color w:val="000000"/>
                <w:szCs w:val="21"/>
                <w:u w:val="single"/>
              </w:rPr>
            </w:pPr>
          </w:p>
        </w:tc>
      </w:tr>
      <w:tr w14:paraId="166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80258B3">
            <w:pPr>
              <w:spacing w:line="360" w:lineRule="auto"/>
              <w:rPr>
                <w:color w:val="000000"/>
                <w:szCs w:val="21"/>
                <w:u w:val="single"/>
              </w:rPr>
            </w:pPr>
          </w:p>
        </w:tc>
        <w:tc>
          <w:tcPr>
            <w:tcW w:w="1980" w:type="dxa"/>
          </w:tcPr>
          <w:p w14:paraId="12A85BBB">
            <w:pPr>
              <w:spacing w:line="360" w:lineRule="auto"/>
              <w:rPr>
                <w:color w:val="000000"/>
                <w:szCs w:val="21"/>
                <w:u w:val="single"/>
              </w:rPr>
            </w:pPr>
          </w:p>
        </w:tc>
        <w:tc>
          <w:tcPr>
            <w:tcW w:w="1832" w:type="dxa"/>
          </w:tcPr>
          <w:p w14:paraId="480D4B85">
            <w:pPr>
              <w:spacing w:line="360" w:lineRule="auto"/>
              <w:rPr>
                <w:color w:val="000000"/>
                <w:szCs w:val="21"/>
                <w:u w:val="single"/>
              </w:rPr>
            </w:pPr>
          </w:p>
        </w:tc>
        <w:tc>
          <w:tcPr>
            <w:tcW w:w="1675" w:type="dxa"/>
          </w:tcPr>
          <w:p w14:paraId="55189CA5">
            <w:pPr>
              <w:spacing w:line="360" w:lineRule="auto"/>
              <w:rPr>
                <w:color w:val="000000"/>
                <w:szCs w:val="21"/>
                <w:u w:val="single"/>
              </w:rPr>
            </w:pPr>
          </w:p>
        </w:tc>
        <w:tc>
          <w:tcPr>
            <w:tcW w:w="1673" w:type="dxa"/>
          </w:tcPr>
          <w:p w14:paraId="2EEFDCEB">
            <w:pPr>
              <w:spacing w:line="360" w:lineRule="auto"/>
              <w:rPr>
                <w:color w:val="000000"/>
                <w:szCs w:val="21"/>
                <w:u w:val="single"/>
              </w:rPr>
            </w:pPr>
          </w:p>
        </w:tc>
      </w:tr>
    </w:tbl>
    <w:p w14:paraId="01C3E186">
      <w:pPr>
        <w:spacing w:line="360" w:lineRule="auto"/>
        <w:rPr>
          <w:color w:val="000000"/>
          <w:szCs w:val="21"/>
          <w:u w:val="single"/>
        </w:rPr>
      </w:pPr>
    </w:p>
    <w:p w14:paraId="4C3A6C97">
      <w:pPr>
        <w:spacing w:line="320" w:lineRule="exact"/>
        <w:rPr>
          <w:rFonts w:ascii="宋体" w:hAnsi="宋体"/>
          <w:color w:val="000000"/>
          <w:sz w:val="18"/>
          <w:szCs w:val="24"/>
        </w:rPr>
      </w:pPr>
      <w:r>
        <w:rPr>
          <w:rFonts w:ascii="宋体" w:hAnsi="宋体"/>
          <w:color w:val="000000"/>
          <w:sz w:val="18"/>
          <w:szCs w:val="24"/>
        </w:rPr>
        <w:t>填报说明：</w:t>
      </w:r>
    </w:p>
    <w:p w14:paraId="10304F87">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1AF4286D">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99BB2B2">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761AB1C">
      <w:pPr>
        <w:spacing w:line="320" w:lineRule="exact"/>
        <w:rPr>
          <w:rFonts w:ascii="宋体" w:hAnsi="宋体"/>
          <w:color w:val="000000"/>
          <w:szCs w:val="21"/>
        </w:rPr>
      </w:pPr>
    </w:p>
    <w:p w14:paraId="55172506">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23A6C664">
      <w:pPr>
        <w:spacing w:line="360" w:lineRule="auto"/>
        <w:rPr>
          <w:rFonts w:ascii="宋体" w:hAnsi="宋体"/>
          <w:color w:val="000000"/>
          <w:szCs w:val="21"/>
        </w:rPr>
      </w:pPr>
    </w:p>
    <w:p w14:paraId="07DDC52C">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1367F44">
      <w:pPr>
        <w:spacing w:line="300" w:lineRule="auto"/>
        <w:rPr>
          <w:rFonts w:ascii="宋体" w:hAnsi="宋体"/>
          <w:bCs/>
          <w:sz w:val="24"/>
          <w:szCs w:val="24"/>
        </w:rPr>
      </w:pPr>
      <w:r>
        <w:rPr>
          <w:rFonts w:ascii="宋体" w:hAnsi="宋体"/>
          <w:color w:val="000000"/>
          <w:szCs w:val="21"/>
        </w:rPr>
        <w:br w:type="page"/>
      </w:r>
    </w:p>
    <w:p w14:paraId="15552E74">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bookmarkStart w:id="8" w:name="_Toc100052473"/>
      <w:bookmarkStart w:id="9" w:name="_Toc10107490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（一）项目班子配备情况表</w:t>
      </w:r>
      <w:bookmarkEnd w:id="8"/>
      <w:bookmarkEnd w:id="9"/>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ascii="宋体" w:hAnsi="宋体"/>
                <w:color w:val="000000"/>
                <w:szCs w:val="21"/>
              </w:rPr>
            </w:pPr>
          </w:p>
        </w:tc>
        <w:tc>
          <w:tcPr>
            <w:tcW w:w="981" w:type="dxa"/>
            <w:vMerge w:val="continue"/>
            <w:vAlign w:val="center"/>
          </w:tcPr>
          <w:p w14:paraId="588E4BFD">
            <w:pPr>
              <w:jc w:val="center"/>
              <w:rPr>
                <w:rFonts w:ascii="宋体" w:hAnsi="宋体"/>
                <w:color w:val="000000"/>
                <w:szCs w:val="21"/>
              </w:rPr>
            </w:pPr>
          </w:p>
        </w:tc>
        <w:tc>
          <w:tcPr>
            <w:tcW w:w="976" w:type="dxa"/>
            <w:vMerge w:val="continue"/>
            <w:vAlign w:val="center"/>
          </w:tcPr>
          <w:p w14:paraId="57A87C89">
            <w:pPr>
              <w:jc w:val="center"/>
              <w:rPr>
                <w:rFonts w:ascii="宋体" w:hAnsi="宋体"/>
                <w:color w:val="000000"/>
                <w:szCs w:val="21"/>
              </w:rPr>
            </w:pPr>
          </w:p>
        </w:tc>
        <w:tc>
          <w:tcPr>
            <w:tcW w:w="1501" w:type="dxa"/>
            <w:vAlign w:val="center"/>
          </w:tcPr>
          <w:p w14:paraId="449A653B">
            <w:pPr>
              <w:jc w:val="center"/>
              <w:rPr>
                <w:rFonts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2DAB2375">
            <w:pPr>
              <w:rPr>
                <w:rFonts w:ascii="宋体" w:hAnsi="宋体"/>
                <w:color w:val="000000"/>
                <w:szCs w:val="21"/>
              </w:rPr>
            </w:pPr>
          </w:p>
        </w:tc>
        <w:tc>
          <w:tcPr>
            <w:tcW w:w="981" w:type="dxa"/>
          </w:tcPr>
          <w:p w14:paraId="1A3DBE7B">
            <w:pPr>
              <w:rPr>
                <w:rFonts w:ascii="宋体" w:hAnsi="宋体"/>
                <w:color w:val="000000"/>
                <w:szCs w:val="21"/>
              </w:rPr>
            </w:pPr>
          </w:p>
        </w:tc>
        <w:tc>
          <w:tcPr>
            <w:tcW w:w="976" w:type="dxa"/>
          </w:tcPr>
          <w:p w14:paraId="06308AD9">
            <w:pPr>
              <w:rPr>
                <w:rFonts w:ascii="宋体" w:hAnsi="宋体"/>
                <w:color w:val="000000"/>
                <w:szCs w:val="21"/>
              </w:rPr>
            </w:pPr>
          </w:p>
        </w:tc>
        <w:tc>
          <w:tcPr>
            <w:tcW w:w="1501" w:type="dxa"/>
          </w:tcPr>
          <w:p w14:paraId="7825014D">
            <w:pPr>
              <w:rPr>
                <w:rFonts w:ascii="宋体" w:hAnsi="宋体"/>
                <w:color w:val="000000"/>
                <w:szCs w:val="21"/>
              </w:rPr>
            </w:pPr>
          </w:p>
        </w:tc>
        <w:tc>
          <w:tcPr>
            <w:tcW w:w="785" w:type="dxa"/>
          </w:tcPr>
          <w:p w14:paraId="7F086115">
            <w:pPr>
              <w:rPr>
                <w:rFonts w:ascii="宋体" w:hAnsi="宋体"/>
                <w:color w:val="000000"/>
                <w:szCs w:val="21"/>
              </w:rPr>
            </w:pPr>
          </w:p>
        </w:tc>
        <w:tc>
          <w:tcPr>
            <w:tcW w:w="786" w:type="dxa"/>
          </w:tcPr>
          <w:p w14:paraId="72E66CC0">
            <w:pPr>
              <w:rPr>
                <w:rFonts w:ascii="宋体" w:hAnsi="宋体"/>
                <w:color w:val="000000"/>
                <w:szCs w:val="21"/>
              </w:rPr>
            </w:pPr>
          </w:p>
        </w:tc>
        <w:tc>
          <w:tcPr>
            <w:tcW w:w="1187" w:type="dxa"/>
          </w:tcPr>
          <w:p w14:paraId="6D1206A7">
            <w:pPr>
              <w:rPr>
                <w:rFonts w:ascii="宋体" w:hAnsi="宋体"/>
                <w:color w:val="000000"/>
                <w:szCs w:val="21"/>
              </w:rPr>
            </w:pPr>
          </w:p>
        </w:tc>
        <w:tc>
          <w:tcPr>
            <w:tcW w:w="1528" w:type="dxa"/>
          </w:tcPr>
          <w:p w14:paraId="4DE5D442">
            <w:pPr>
              <w:rPr>
                <w:rFonts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4EE7784">
            <w:pPr>
              <w:rPr>
                <w:rFonts w:ascii="宋体" w:hAnsi="宋体"/>
                <w:color w:val="000000"/>
                <w:szCs w:val="21"/>
              </w:rPr>
            </w:pPr>
          </w:p>
        </w:tc>
        <w:tc>
          <w:tcPr>
            <w:tcW w:w="981" w:type="dxa"/>
          </w:tcPr>
          <w:p w14:paraId="64568F9B">
            <w:pPr>
              <w:rPr>
                <w:rFonts w:ascii="宋体" w:hAnsi="宋体"/>
                <w:color w:val="000000"/>
                <w:szCs w:val="21"/>
              </w:rPr>
            </w:pPr>
          </w:p>
        </w:tc>
        <w:tc>
          <w:tcPr>
            <w:tcW w:w="976" w:type="dxa"/>
          </w:tcPr>
          <w:p w14:paraId="1CFB16F7">
            <w:pPr>
              <w:rPr>
                <w:rFonts w:ascii="宋体" w:hAnsi="宋体"/>
                <w:color w:val="000000"/>
                <w:szCs w:val="21"/>
              </w:rPr>
            </w:pPr>
          </w:p>
        </w:tc>
        <w:tc>
          <w:tcPr>
            <w:tcW w:w="1501" w:type="dxa"/>
          </w:tcPr>
          <w:p w14:paraId="1BE9A6B4">
            <w:pPr>
              <w:rPr>
                <w:rFonts w:ascii="宋体" w:hAnsi="宋体"/>
                <w:color w:val="000000"/>
                <w:szCs w:val="21"/>
              </w:rPr>
            </w:pPr>
          </w:p>
        </w:tc>
        <w:tc>
          <w:tcPr>
            <w:tcW w:w="785" w:type="dxa"/>
          </w:tcPr>
          <w:p w14:paraId="18D6F397">
            <w:pPr>
              <w:rPr>
                <w:rFonts w:ascii="宋体" w:hAnsi="宋体"/>
                <w:color w:val="000000"/>
                <w:szCs w:val="21"/>
              </w:rPr>
            </w:pPr>
          </w:p>
        </w:tc>
        <w:tc>
          <w:tcPr>
            <w:tcW w:w="786" w:type="dxa"/>
          </w:tcPr>
          <w:p w14:paraId="484749FF">
            <w:pPr>
              <w:rPr>
                <w:rFonts w:ascii="宋体" w:hAnsi="宋体"/>
                <w:color w:val="000000"/>
                <w:szCs w:val="21"/>
              </w:rPr>
            </w:pPr>
          </w:p>
        </w:tc>
        <w:tc>
          <w:tcPr>
            <w:tcW w:w="1187" w:type="dxa"/>
          </w:tcPr>
          <w:p w14:paraId="243CB90F">
            <w:pPr>
              <w:rPr>
                <w:rFonts w:ascii="宋体" w:hAnsi="宋体"/>
                <w:color w:val="000000"/>
                <w:szCs w:val="21"/>
              </w:rPr>
            </w:pPr>
          </w:p>
        </w:tc>
        <w:tc>
          <w:tcPr>
            <w:tcW w:w="1528" w:type="dxa"/>
          </w:tcPr>
          <w:p w14:paraId="5A3776C9">
            <w:pPr>
              <w:rPr>
                <w:rFonts w:ascii="宋体" w:hAnsi="宋体"/>
                <w:color w:val="000000"/>
                <w:szCs w:val="21"/>
              </w:rPr>
            </w:pPr>
          </w:p>
        </w:tc>
      </w:tr>
    </w:tbl>
    <w:p w14:paraId="24AAA226">
      <w:pPr>
        <w:spacing w:line="320" w:lineRule="exact"/>
        <w:rPr>
          <w:rFonts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0" w:name="_Toc73521707"/>
      <w:bookmarkStart w:id="11" w:name="_Toc101074904"/>
      <w:bookmarkStart w:id="12" w:name="_Toc100052474"/>
      <w:bookmarkStart w:id="13" w:name="_Toc73521619"/>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10"/>
      <w:bookmarkEnd w:id="11"/>
      <w:bookmarkEnd w:id="12"/>
      <w:bookmarkEnd w:id="13"/>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ascii="宋体" w:hAnsi="宋体"/>
                <w:color w:val="000000"/>
                <w:szCs w:val="21"/>
              </w:rPr>
            </w:pPr>
          </w:p>
        </w:tc>
        <w:tc>
          <w:tcPr>
            <w:tcW w:w="972" w:type="dxa"/>
            <w:vAlign w:val="center"/>
          </w:tcPr>
          <w:p w14:paraId="64B897D2">
            <w:pPr>
              <w:jc w:val="center"/>
              <w:rPr>
                <w:rFonts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ascii="宋体" w:hAnsi="宋体"/>
                <w:color w:val="000000"/>
                <w:szCs w:val="21"/>
              </w:rPr>
            </w:pPr>
          </w:p>
        </w:tc>
        <w:tc>
          <w:tcPr>
            <w:tcW w:w="1007" w:type="dxa"/>
            <w:gridSpan w:val="2"/>
            <w:vAlign w:val="center"/>
          </w:tcPr>
          <w:p w14:paraId="6530F8DE">
            <w:pPr>
              <w:jc w:val="center"/>
              <w:rPr>
                <w:rFonts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ascii="宋体" w:hAnsi="宋体"/>
                <w:color w:val="000000"/>
                <w:szCs w:val="21"/>
              </w:rPr>
            </w:pPr>
          </w:p>
        </w:tc>
        <w:tc>
          <w:tcPr>
            <w:tcW w:w="972" w:type="dxa"/>
            <w:vAlign w:val="center"/>
          </w:tcPr>
          <w:p w14:paraId="06E072CD">
            <w:pPr>
              <w:jc w:val="center"/>
              <w:rPr>
                <w:rFonts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ascii="宋体" w:hAnsi="宋体"/>
                <w:color w:val="000000"/>
                <w:szCs w:val="21"/>
              </w:rPr>
            </w:pPr>
          </w:p>
        </w:tc>
        <w:tc>
          <w:tcPr>
            <w:tcW w:w="1007" w:type="dxa"/>
            <w:gridSpan w:val="2"/>
            <w:vAlign w:val="center"/>
          </w:tcPr>
          <w:p w14:paraId="796DC006">
            <w:pPr>
              <w:jc w:val="center"/>
              <w:rPr>
                <w:rFonts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ascii="宋体" w:hAnsi="宋体"/>
                <w:color w:val="000000"/>
                <w:szCs w:val="21"/>
              </w:rPr>
            </w:pPr>
          </w:p>
        </w:tc>
        <w:tc>
          <w:tcPr>
            <w:tcW w:w="1622" w:type="dxa"/>
            <w:gridSpan w:val="2"/>
            <w:vAlign w:val="center"/>
          </w:tcPr>
          <w:p w14:paraId="44C5CF5E">
            <w:pPr>
              <w:rPr>
                <w:rFonts w:ascii="宋体" w:hAnsi="宋体"/>
                <w:color w:val="000000"/>
                <w:szCs w:val="21"/>
              </w:rPr>
            </w:pPr>
          </w:p>
        </w:tc>
        <w:tc>
          <w:tcPr>
            <w:tcW w:w="1326" w:type="dxa"/>
            <w:gridSpan w:val="3"/>
            <w:vAlign w:val="center"/>
          </w:tcPr>
          <w:p w14:paraId="67A21C9E">
            <w:pPr>
              <w:rPr>
                <w:rFonts w:ascii="宋体" w:hAnsi="宋体"/>
                <w:color w:val="000000"/>
                <w:szCs w:val="21"/>
              </w:rPr>
            </w:pPr>
          </w:p>
        </w:tc>
        <w:tc>
          <w:tcPr>
            <w:tcW w:w="1592" w:type="dxa"/>
            <w:gridSpan w:val="2"/>
            <w:vAlign w:val="center"/>
          </w:tcPr>
          <w:p w14:paraId="60AFB242">
            <w:pPr>
              <w:rPr>
                <w:rFonts w:ascii="宋体" w:hAnsi="宋体"/>
                <w:color w:val="000000"/>
                <w:szCs w:val="21"/>
              </w:rPr>
            </w:pPr>
          </w:p>
        </w:tc>
        <w:tc>
          <w:tcPr>
            <w:tcW w:w="1461" w:type="dxa"/>
            <w:gridSpan w:val="2"/>
            <w:vAlign w:val="center"/>
          </w:tcPr>
          <w:p w14:paraId="1F30D4C4">
            <w:pPr>
              <w:rPr>
                <w:rFonts w:ascii="宋体" w:hAnsi="宋体"/>
                <w:color w:val="000000"/>
                <w:szCs w:val="21"/>
              </w:rPr>
            </w:pPr>
          </w:p>
        </w:tc>
        <w:tc>
          <w:tcPr>
            <w:tcW w:w="1068" w:type="dxa"/>
            <w:vAlign w:val="center"/>
          </w:tcPr>
          <w:p w14:paraId="24A80B6F">
            <w:pPr>
              <w:rPr>
                <w:rFonts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4" w:name="_Toc100052475"/>
      <w:bookmarkStart w:id="15" w:name="_Toc101074905"/>
      <w:bookmarkStart w:id="16" w:name="_Toc73521620"/>
      <w:bookmarkStart w:id="17" w:name="_Toc73521708"/>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（三）项目班子配备情况辅助说明资料</w:t>
      </w:r>
      <w:bookmarkEnd w:id="14"/>
      <w:bookmarkEnd w:id="15"/>
      <w:bookmarkEnd w:id="16"/>
      <w:bookmarkEnd w:id="17"/>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ascii="宋体" w:hAnsi="宋体"/>
          <w:color w:val="000000"/>
          <w:szCs w:val="21"/>
        </w:rPr>
      </w:pPr>
      <w:r>
        <w:rPr>
          <w:rFonts w:ascii="宋体" w:hAnsi="宋体"/>
          <w:color w:val="000000"/>
          <w:szCs w:val="21"/>
        </w:rPr>
        <w:br w:type="page"/>
      </w:r>
      <w:bookmarkStart w:id="18" w:name="_Toc201997946"/>
      <w:bookmarkStart w:id="19" w:name="_Toc201401658"/>
      <w:bookmarkStart w:id="20" w:name="_Toc201743116"/>
      <w:bookmarkStart w:id="21" w:name="_Toc201742861"/>
      <w:bookmarkStart w:id="22" w:name="_Toc201719118"/>
    </w:p>
    <w:p w14:paraId="18DE14E9">
      <w:pPr>
        <w:spacing w:line="300" w:lineRule="auto"/>
        <w:rPr>
          <w:rFonts w:ascii="宋体" w:hAnsi="宋体"/>
          <w:color w:val="000000"/>
          <w:szCs w:val="21"/>
        </w:rPr>
      </w:pPr>
      <w:r>
        <w:rPr>
          <w:rFonts w:hint="eastAsia" w:ascii="宋体" w:hAnsi="宋体"/>
          <w:color w:val="000000"/>
          <w:szCs w:val="21"/>
        </w:rPr>
        <w:t>格式6：法人授权书</w:t>
      </w:r>
    </w:p>
    <w:p w14:paraId="76CA3135">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ascii="宋体" w:hAnsi="宋体"/>
          <w:bCs/>
          <w:sz w:val="24"/>
          <w:szCs w:val="24"/>
        </w:rPr>
      </w:pPr>
    </w:p>
    <w:p w14:paraId="2986696C">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5"/>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5"/>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5"/>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5"/>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5"/>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5"/>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5"/>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5"/>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ascii="宋体" w:hAnsi="宋体"/>
          <w:bCs/>
          <w:sz w:val="24"/>
          <w:szCs w:val="24"/>
          <w:u w:val="single"/>
        </w:rPr>
      </w:pPr>
    </w:p>
    <w:p w14:paraId="1F22EC69">
      <w:pPr>
        <w:spacing w:line="500" w:lineRule="exact"/>
        <w:ind w:firstLine="555"/>
        <w:jc w:val="left"/>
        <w:rPr>
          <w:rFonts w:ascii="宋体" w:hAnsi="宋体"/>
          <w:bCs/>
          <w:sz w:val="24"/>
          <w:szCs w:val="24"/>
          <w:u w:val="single"/>
        </w:rPr>
      </w:pPr>
    </w:p>
    <w:p w14:paraId="399D4DE2">
      <w:pPr>
        <w:spacing w:line="500" w:lineRule="exact"/>
        <w:ind w:firstLine="555"/>
        <w:jc w:val="left"/>
        <w:rPr>
          <w:rFonts w:ascii="宋体" w:hAnsi="宋体"/>
          <w:bCs/>
          <w:sz w:val="24"/>
          <w:szCs w:val="24"/>
          <w:u w:val="single"/>
        </w:rPr>
      </w:pPr>
    </w:p>
    <w:p w14:paraId="4D644C5A">
      <w:pPr>
        <w:tabs>
          <w:tab w:val="left" w:pos="0"/>
        </w:tabs>
        <w:spacing w:line="276" w:lineRule="auto"/>
        <w:jc w:val="left"/>
        <w:rPr>
          <w:rFonts w:ascii="宋体" w:hAnsi="宋体"/>
          <w:sz w:val="24"/>
          <w:szCs w:val="24"/>
        </w:rPr>
      </w:pPr>
    </w:p>
    <w:p w14:paraId="78790AAA">
      <w:pPr>
        <w:rPr>
          <w:rFonts w:ascii="宋体" w:hAnsi="宋体"/>
          <w:sz w:val="24"/>
          <w:szCs w:val="24"/>
        </w:rPr>
      </w:pPr>
    </w:p>
    <w:p w14:paraId="58F207EA">
      <w:pPr>
        <w:rPr>
          <w:rFonts w:ascii="宋体" w:hAnsi="宋体"/>
          <w:sz w:val="24"/>
          <w:szCs w:val="24"/>
        </w:rPr>
      </w:pPr>
    </w:p>
    <w:p w14:paraId="52158F7A">
      <w:pPr>
        <w:spacing w:line="300" w:lineRule="auto"/>
        <w:rPr>
          <w:rFonts w:ascii="宋体" w:hAnsi="宋体"/>
          <w:sz w:val="24"/>
          <w:szCs w:val="24"/>
        </w:rPr>
      </w:pPr>
    </w:p>
    <w:p w14:paraId="7A1BEBAA">
      <w:pPr>
        <w:spacing w:line="300" w:lineRule="auto"/>
        <w:rPr>
          <w:rFonts w:ascii="宋体" w:hAnsi="宋体"/>
          <w:sz w:val="24"/>
          <w:szCs w:val="24"/>
        </w:rPr>
      </w:pPr>
    </w:p>
    <w:p w14:paraId="38B2A25D">
      <w:pPr>
        <w:spacing w:line="300" w:lineRule="auto"/>
        <w:rPr>
          <w:rFonts w:ascii="宋体" w:hAnsi="宋体"/>
          <w:sz w:val="24"/>
          <w:szCs w:val="24"/>
        </w:rPr>
      </w:pPr>
    </w:p>
    <w:p w14:paraId="776096CB">
      <w:pPr>
        <w:spacing w:line="300" w:lineRule="auto"/>
        <w:rPr>
          <w:rFonts w:ascii="宋体" w:hAnsi="宋体"/>
          <w:sz w:val="24"/>
          <w:szCs w:val="24"/>
        </w:rPr>
      </w:pPr>
    </w:p>
    <w:p w14:paraId="5F6775F5">
      <w:pPr>
        <w:spacing w:line="300" w:lineRule="auto"/>
        <w:rPr>
          <w:rFonts w:ascii="宋体" w:hAnsi="宋体"/>
          <w:sz w:val="24"/>
          <w:szCs w:val="24"/>
        </w:rPr>
      </w:pPr>
    </w:p>
    <w:p w14:paraId="28544239">
      <w:pPr>
        <w:spacing w:line="300" w:lineRule="auto"/>
        <w:rPr>
          <w:rFonts w:ascii="宋体" w:hAnsi="宋体"/>
          <w:sz w:val="24"/>
          <w:szCs w:val="24"/>
        </w:rPr>
      </w:pPr>
    </w:p>
    <w:p w14:paraId="0D169A0F">
      <w:pPr>
        <w:spacing w:line="300" w:lineRule="auto"/>
        <w:rPr>
          <w:rFonts w:ascii="宋体" w:hAnsi="宋体"/>
          <w:sz w:val="24"/>
          <w:szCs w:val="24"/>
        </w:rPr>
      </w:pPr>
    </w:p>
    <w:p w14:paraId="740D4FE0">
      <w:pPr>
        <w:spacing w:line="300" w:lineRule="auto"/>
        <w:rPr>
          <w:rFonts w:ascii="宋体" w:hAnsi="宋体"/>
          <w:sz w:val="24"/>
          <w:szCs w:val="24"/>
        </w:rPr>
      </w:pPr>
    </w:p>
    <w:p w14:paraId="61CD3C8A">
      <w:pPr>
        <w:spacing w:line="300" w:lineRule="auto"/>
        <w:rPr>
          <w:rFonts w:ascii="宋体" w:hAnsi="宋体"/>
          <w:sz w:val="24"/>
          <w:szCs w:val="24"/>
        </w:rPr>
      </w:pPr>
    </w:p>
    <w:p w14:paraId="6E69457E">
      <w:pPr>
        <w:spacing w:line="300" w:lineRule="auto"/>
        <w:rPr>
          <w:rFonts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8"/>
    <w:bookmarkEnd w:id="19"/>
    <w:bookmarkEnd w:id="20"/>
    <w:bookmarkEnd w:id="21"/>
    <w:bookmarkEnd w:id="22"/>
    <w:p w14:paraId="69D53534">
      <w:pPr>
        <w:rPr>
          <w:rFonts w:ascii="宋体" w:hAnsi="宋体"/>
          <w:bCs/>
          <w:sz w:val="24"/>
          <w:szCs w:val="24"/>
        </w:rPr>
      </w:pPr>
      <w:r>
        <w:rPr>
          <w:rFonts w:hint="eastAsia" w:ascii="宋体" w:hAnsi="宋体"/>
          <w:bCs/>
          <w:sz w:val="24"/>
          <w:szCs w:val="24"/>
        </w:rPr>
        <w:t>格式7：诚信承诺函</w:t>
      </w:r>
    </w:p>
    <w:p w14:paraId="50309923">
      <w:pPr>
        <w:jc w:val="center"/>
        <w:rPr>
          <w:rFonts w:ascii="宋体" w:hAnsi="宋体"/>
          <w:b/>
          <w:sz w:val="24"/>
          <w:szCs w:val="24"/>
        </w:rPr>
      </w:pPr>
      <w:r>
        <w:rPr>
          <w:rFonts w:hint="eastAsia" w:ascii="宋体" w:hAnsi="宋体"/>
          <w:b/>
          <w:bCs/>
          <w:sz w:val="24"/>
          <w:szCs w:val="24"/>
        </w:rPr>
        <w:t>诚信情况承诺函</w:t>
      </w:r>
    </w:p>
    <w:p w14:paraId="0597C1C0">
      <w:pPr>
        <w:spacing w:line="312" w:lineRule="auto"/>
        <w:rPr>
          <w:rFonts w:ascii="宋体" w:hAnsi="宋体"/>
          <w:sz w:val="24"/>
          <w:szCs w:val="24"/>
        </w:rPr>
      </w:pPr>
    </w:p>
    <w:p w14:paraId="4A439B52">
      <w:pPr>
        <w:spacing w:line="360" w:lineRule="auto"/>
        <w:rPr>
          <w:rFonts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3"/>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512CD6EF">
      <w:pPr>
        <w:numPr>
          <w:ilvl w:val="1"/>
          <w:numId w:val="3"/>
        </w:numPr>
        <w:spacing w:line="360" w:lineRule="auto"/>
        <w:rPr>
          <w:rFonts w:ascii="宋体" w:hAnsi="宋体"/>
          <w:sz w:val="24"/>
          <w:szCs w:val="24"/>
        </w:rPr>
      </w:pPr>
      <w:r>
        <w:rPr>
          <w:rFonts w:hint="eastAsia" w:ascii="宋体" w:hAnsi="宋体"/>
          <w:sz w:val="24"/>
          <w:szCs w:val="24"/>
        </w:rPr>
        <w:t>未按规定签订、履行采购合同，造成严重后果的；</w:t>
      </w:r>
    </w:p>
    <w:p w14:paraId="31A7EBBE">
      <w:pPr>
        <w:numPr>
          <w:ilvl w:val="1"/>
          <w:numId w:val="3"/>
        </w:numPr>
        <w:spacing w:line="360" w:lineRule="auto"/>
        <w:rPr>
          <w:rFonts w:ascii="宋体" w:hAnsi="宋体"/>
          <w:sz w:val="24"/>
          <w:szCs w:val="24"/>
        </w:rPr>
      </w:pPr>
      <w:r>
        <w:rPr>
          <w:rFonts w:hint="eastAsia" w:ascii="宋体" w:hAnsi="宋体"/>
          <w:sz w:val="24"/>
          <w:szCs w:val="24"/>
        </w:rPr>
        <w:t>隐瞒真实情况，提供虚假资料的；</w:t>
      </w:r>
    </w:p>
    <w:p w14:paraId="5B129833">
      <w:pPr>
        <w:numPr>
          <w:ilvl w:val="1"/>
          <w:numId w:val="3"/>
        </w:numPr>
        <w:spacing w:line="360" w:lineRule="auto"/>
        <w:rPr>
          <w:rFonts w:ascii="宋体" w:hAnsi="宋体"/>
          <w:sz w:val="24"/>
          <w:szCs w:val="24"/>
        </w:rPr>
      </w:pPr>
      <w:r>
        <w:rPr>
          <w:rFonts w:hint="eastAsia" w:ascii="宋体" w:hAnsi="宋体"/>
          <w:sz w:val="24"/>
          <w:szCs w:val="24"/>
        </w:rPr>
        <w:t>以非法手段排斥其他供应商参与竞争的；</w:t>
      </w:r>
    </w:p>
    <w:p w14:paraId="22A156AB">
      <w:pPr>
        <w:numPr>
          <w:ilvl w:val="1"/>
          <w:numId w:val="3"/>
        </w:numPr>
        <w:spacing w:line="360" w:lineRule="auto"/>
        <w:rPr>
          <w:rFonts w:ascii="宋体" w:hAnsi="宋体"/>
          <w:sz w:val="24"/>
          <w:szCs w:val="24"/>
        </w:rPr>
      </w:pPr>
      <w:r>
        <w:rPr>
          <w:rFonts w:hint="eastAsia" w:ascii="宋体" w:hAnsi="宋体"/>
          <w:sz w:val="24"/>
          <w:szCs w:val="24"/>
        </w:rPr>
        <w:t>与其他采购参加人串通投标的；</w:t>
      </w:r>
    </w:p>
    <w:p w14:paraId="37548042">
      <w:pPr>
        <w:numPr>
          <w:ilvl w:val="1"/>
          <w:numId w:val="3"/>
        </w:numPr>
        <w:spacing w:line="360" w:lineRule="auto"/>
        <w:rPr>
          <w:rFonts w:ascii="宋体" w:hAnsi="宋体"/>
          <w:sz w:val="24"/>
          <w:szCs w:val="24"/>
        </w:rPr>
      </w:pPr>
      <w:r>
        <w:rPr>
          <w:rFonts w:hint="eastAsia" w:ascii="宋体" w:hAnsi="宋体"/>
          <w:sz w:val="24"/>
          <w:szCs w:val="24"/>
        </w:rPr>
        <w:t>在采购活动中应当回避而未回避的；</w:t>
      </w:r>
    </w:p>
    <w:p w14:paraId="6CC60E0B">
      <w:pPr>
        <w:numPr>
          <w:ilvl w:val="1"/>
          <w:numId w:val="3"/>
        </w:numPr>
        <w:spacing w:line="360" w:lineRule="auto"/>
        <w:rPr>
          <w:rFonts w:ascii="宋体" w:hAnsi="宋体"/>
          <w:sz w:val="24"/>
          <w:szCs w:val="24"/>
        </w:rPr>
      </w:pPr>
      <w:r>
        <w:rPr>
          <w:rFonts w:hint="eastAsia" w:ascii="宋体" w:hAnsi="宋体"/>
          <w:sz w:val="24"/>
          <w:szCs w:val="24"/>
        </w:rPr>
        <w:t>恶意投诉的；</w:t>
      </w:r>
    </w:p>
    <w:p w14:paraId="07D73382">
      <w:pPr>
        <w:numPr>
          <w:ilvl w:val="1"/>
          <w:numId w:val="3"/>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48D61673">
      <w:pPr>
        <w:numPr>
          <w:ilvl w:val="1"/>
          <w:numId w:val="3"/>
        </w:numPr>
        <w:spacing w:line="360" w:lineRule="auto"/>
        <w:rPr>
          <w:rFonts w:ascii="宋体" w:hAnsi="宋体"/>
          <w:sz w:val="24"/>
          <w:szCs w:val="24"/>
        </w:rPr>
      </w:pPr>
      <w:r>
        <w:rPr>
          <w:rFonts w:hint="eastAsia" w:ascii="宋体" w:hAnsi="宋体"/>
          <w:sz w:val="24"/>
          <w:szCs w:val="24"/>
        </w:rPr>
        <w:t>阻碍、抗拒主管部门监督检查的；</w:t>
      </w:r>
    </w:p>
    <w:p w14:paraId="19D12B17">
      <w:pPr>
        <w:numPr>
          <w:ilvl w:val="1"/>
          <w:numId w:val="3"/>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ascii="宋体" w:hAnsi="宋体"/>
          <w:sz w:val="24"/>
          <w:szCs w:val="24"/>
        </w:rPr>
      </w:pPr>
    </w:p>
    <w:p w14:paraId="48EE483B">
      <w:pPr>
        <w:spacing w:line="312" w:lineRule="auto"/>
        <w:ind w:firstLine="525"/>
        <w:rPr>
          <w:rFonts w:ascii="宋体" w:hAnsi="宋体"/>
          <w:sz w:val="24"/>
          <w:szCs w:val="24"/>
        </w:rPr>
      </w:pPr>
    </w:p>
    <w:p w14:paraId="07A76224">
      <w:pPr>
        <w:spacing w:line="312" w:lineRule="auto"/>
        <w:ind w:firstLine="525"/>
        <w:rPr>
          <w:rFonts w:ascii="宋体" w:hAnsi="宋体"/>
          <w:sz w:val="24"/>
          <w:szCs w:val="24"/>
        </w:rPr>
      </w:pPr>
    </w:p>
    <w:p w14:paraId="53FB0036">
      <w:pPr>
        <w:spacing w:line="312" w:lineRule="auto"/>
        <w:ind w:firstLine="525"/>
        <w:rPr>
          <w:rFonts w:ascii="宋体" w:hAnsi="宋体"/>
          <w:sz w:val="24"/>
          <w:szCs w:val="24"/>
        </w:rPr>
      </w:pPr>
    </w:p>
    <w:p w14:paraId="593E00CD">
      <w:pPr>
        <w:spacing w:line="312" w:lineRule="auto"/>
        <w:ind w:firstLine="525"/>
        <w:rPr>
          <w:rFonts w:ascii="宋体" w:hAnsi="宋体"/>
          <w:sz w:val="24"/>
          <w:szCs w:val="24"/>
        </w:rPr>
      </w:pPr>
    </w:p>
    <w:p w14:paraId="0F71AE85">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C0061">
      <w:pPr>
        <w:spacing w:line="360" w:lineRule="auto"/>
        <w:ind w:firstLine="360" w:firstLineChars="150"/>
        <w:rPr>
          <w:rFonts w:ascii="宋体" w:hAnsi="宋体"/>
          <w:sz w:val="24"/>
          <w:szCs w:val="24"/>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05DC2266"/>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7F5154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1"/>
      <w:framePr w:wrap="around" w:vAnchor="text" w:hAnchor="page" w:x="8278" w:y="-31"/>
      <w:rPr>
        <w:rStyle w:val="22"/>
      </w:rPr>
    </w:pPr>
    <w:r>
      <w:fldChar w:fldCharType="begin"/>
    </w:r>
    <w:r>
      <w:rPr>
        <w:rStyle w:val="22"/>
      </w:rPr>
      <w:instrText xml:space="preserve">PAGE  </w:instrText>
    </w:r>
    <w:r>
      <w:fldChar w:fldCharType="separate"/>
    </w:r>
    <w:r>
      <w:rPr>
        <w:rStyle w:val="22"/>
      </w:rPr>
      <w:t>14</w:t>
    </w:r>
    <w:r>
      <w:fldChar w:fldCharType="end"/>
    </w:r>
  </w:p>
  <w:p w14:paraId="52B4CE8A">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E3606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F90E"/>
    <w:multiLevelType w:val="singleLevel"/>
    <w:tmpl w:val="F5EFF90E"/>
    <w:lvl w:ilvl="0" w:tentative="0">
      <w:start w:val="2"/>
      <w:numFmt w:val="decimal"/>
      <w:suff w:val="nothing"/>
      <w:lvlText w:val="%1、"/>
      <w:lvlJc w:val="left"/>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ABA174"/>
    <w:multiLevelType w:val="singleLevel"/>
    <w:tmpl w:val="13ABA17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1F4E41"/>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47513"/>
    <w:rsid w:val="00252536"/>
    <w:rsid w:val="002544B2"/>
    <w:rsid w:val="00255F4F"/>
    <w:rsid w:val="00257804"/>
    <w:rsid w:val="00260329"/>
    <w:rsid w:val="0026104C"/>
    <w:rsid w:val="00261750"/>
    <w:rsid w:val="002617F0"/>
    <w:rsid w:val="0026330B"/>
    <w:rsid w:val="00265EEE"/>
    <w:rsid w:val="0026655D"/>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2E25"/>
    <w:rsid w:val="005E37C0"/>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1458"/>
    <w:rsid w:val="00695DF7"/>
    <w:rsid w:val="006960B9"/>
    <w:rsid w:val="006A1B6C"/>
    <w:rsid w:val="006A3657"/>
    <w:rsid w:val="006A7125"/>
    <w:rsid w:val="006B4543"/>
    <w:rsid w:val="006B5C12"/>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4098"/>
    <w:rsid w:val="00795E24"/>
    <w:rsid w:val="00796C50"/>
    <w:rsid w:val="007A15F3"/>
    <w:rsid w:val="007A1EF5"/>
    <w:rsid w:val="007A44D1"/>
    <w:rsid w:val="007B6F7D"/>
    <w:rsid w:val="007C174D"/>
    <w:rsid w:val="007C2FF9"/>
    <w:rsid w:val="007D0183"/>
    <w:rsid w:val="007D389F"/>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E0728"/>
    <w:rsid w:val="008F107D"/>
    <w:rsid w:val="008F2097"/>
    <w:rsid w:val="008F2267"/>
    <w:rsid w:val="008F28EB"/>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8756B"/>
    <w:rsid w:val="0099143A"/>
    <w:rsid w:val="00996324"/>
    <w:rsid w:val="009969A9"/>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43B5"/>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38B7"/>
    <w:rsid w:val="00A770F1"/>
    <w:rsid w:val="00A80E0D"/>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3D6D"/>
    <w:rsid w:val="00C357E9"/>
    <w:rsid w:val="00C3660C"/>
    <w:rsid w:val="00C37DB8"/>
    <w:rsid w:val="00C40D87"/>
    <w:rsid w:val="00C411EB"/>
    <w:rsid w:val="00C4372C"/>
    <w:rsid w:val="00C449F9"/>
    <w:rsid w:val="00C472ED"/>
    <w:rsid w:val="00C47A25"/>
    <w:rsid w:val="00C47F1A"/>
    <w:rsid w:val="00C57DE7"/>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05BCA"/>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62B08"/>
    <w:rsid w:val="00E637F1"/>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189A"/>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050673"/>
    <w:rsid w:val="0A8A5D39"/>
    <w:rsid w:val="0AA13162"/>
    <w:rsid w:val="0AB6258A"/>
    <w:rsid w:val="0B452B9B"/>
    <w:rsid w:val="0B5770DF"/>
    <w:rsid w:val="0C372CCD"/>
    <w:rsid w:val="0C5603A3"/>
    <w:rsid w:val="0C5C2346"/>
    <w:rsid w:val="0C5E5BB8"/>
    <w:rsid w:val="0C94782E"/>
    <w:rsid w:val="0DE615E1"/>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847A90"/>
    <w:rsid w:val="1FA13095"/>
    <w:rsid w:val="1FE040BC"/>
    <w:rsid w:val="20152CE5"/>
    <w:rsid w:val="204801C9"/>
    <w:rsid w:val="20F304B0"/>
    <w:rsid w:val="21916F90"/>
    <w:rsid w:val="22314524"/>
    <w:rsid w:val="228C71CA"/>
    <w:rsid w:val="22DE11E6"/>
    <w:rsid w:val="249C6AFD"/>
    <w:rsid w:val="25130C83"/>
    <w:rsid w:val="25D450BA"/>
    <w:rsid w:val="25D56523"/>
    <w:rsid w:val="26E116DC"/>
    <w:rsid w:val="277B4CFD"/>
    <w:rsid w:val="28752B19"/>
    <w:rsid w:val="2876124D"/>
    <w:rsid w:val="28AA01F1"/>
    <w:rsid w:val="28BC4185"/>
    <w:rsid w:val="2A377783"/>
    <w:rsid w:val="2A6266E9"/>
    <w:rsid w:val="2A6C54A9"/>
    <w:rsid w:val="2D21664A"/>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9031BEB"/>
    <w:rsid w:val="39072F88"/>
    <w:rsid w:val="394D7D0F"/>
    <w:rsid w:val="399E4DCC"/>
    <w:rsid w:val="3A697C9C"/>
    <w:rsid w:val="3B5330E7"/>
    <w:rsid w:val="3BD85452"/>
    <w:rsid w:val="3BF6596E"/>
    <w:rsid w:val="3C125C3B"/>
    <w:rsid w:val="3C6162AD"/>
    <w:rsid w:val="3CC86BE5"/>
    <w:rsid w:val="3D132062"/>
    <w:rsid w:val="3D83213E"/>
    <w:rsid w:val="3DDB4F84"/>
    <w:rsid w:val="3F9B22EA"/>
    <w:rsid w:val="40A83A07"/>
    <w:rsid w:val="416F41D1"/>
    <w:rsid w:val="41BA0644"/>
    <w:rsid w:val="41F05DAA"/>
    <w:rsid w:val="428A76BF"/>
    <w:rsid w:val="42EB425E"/>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EB75A16"/>
    <w:rsid w:val="4F0F2B66"/>
    <w:rsid w:val="4F296C73"/>
    <w:rsid w:val="4F747F89"/>
    <w:rsid w:val="50331FAE"/>
    <w:rsid w:val="506247ED"/>
    <w:rsid w:val="5128622E"/>
    <w:rsid w:val="51541FB9"/>
    <w:rsid w:val="51653541"/>
    <w:rsid w:val="51BA3918"/>
    <w:rsid w:val="51BF7541"/>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D81653F"/>
    <w:rsid w:val="5E954ECC"/>
    <w:rsid w:val="5F2430A4"/>
    <w:rsid w:val="5F762EF1"/>
    <w:rsid w:val="5FC6029B"/>
    <w:rsid w:val="60003EDC"/>
    <w:rsid w:val="60405D44"/>
    <w:rsid w:val="604959AE"/>
    <w:rsid w:val="613269C6"/>
    <w:rsid w:val="61371FA3"/>
    <w:rsid w:val="61C15C3A"/>
    <w:rsid w:val="62D91B8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B484508"/>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4DA5056"/>
    <w:rsid w:val="75017925"/>
    <w:rsid w:val="75BF5C57"/>
    <w:rsid w:val="76287E23"/>
    <w:rsid w:val="76437394"/>
    <w:rsid w:val="76D20986"/>
    <w:rsid w:val="79A732D1"/>
    <w:rsid w:val="79BA4A36"/>
    <w:rsid w:val="7AD6416D"/>
    <w:rsid w:val="7B616DAE"/>
    <w:rsid w:val="7BCD7517"/>
    <w:rsid w:val="7BFA4470"/>
    <w:rsid w:val="7C0039D3"/>
    <w:rsid w:val="7C6C6D2C"/>
    <w:rsid w:val="7C7163B3"/>
    <w:rsid w:val="7C8C07BD"/>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autoRedefine/>
    <w:qFormat/>
    <w:uiPriority w:val="0"/>
    <w:pPr>
      <w:spacing w:before="240" w:after="240"/>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8"/>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7"/>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31"/>
    <w:autoRedefine/>
    <w:qFormat/>
    <w:uiPriority w:val="99"/>
    <w:pPr>
      <w:tabs>
        <w:tab w:val="center" w:pos="4153"/>
        <w:tab w:val="right" w:pos="8306"/>
      </w:tabs>
      <w:snapToGrid w:val="0"/>
      <w:jc w:val="left"/>
    </w:pPr>
    <w:rPr>
      <w:sz w:val="18"/>
      <w:szCs w:val="18"/>
    </w:rPr>
  </w:style>
  <w:style w:type="paragraph" w:styleId="12">
    <w:name w:val="header"/>
    <w:basedOn w:val="1"/>
    <w:link w:val="30"/>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210"/>
      <w:jc w:val="left"/>
    </w:pPr>
    <w:rPr>
      <w:rFonts w:ascii="Calibri" w:hAnsi="Calibri" w:cs="Calibri"/>
      <w:smallCaps/>
    </w:rPr>
  </w:style>
  <w:style w:type="paragraph" w:styleId="14">
    <w:name w:val="Body Text 2"/>
    <w:basedOn w:val="1"/>
    <w:unhideWhenUsed/>
    <w:qFormat/>
    <w:uiPriority w:val="99"/>
    <w:pPr>
      <w:spacing w:line="360" w:lineRule="auto"/>
    </w:pPr>
    <w:rPr>
      <w:sz w:val="24"/>
    </w:rPr>
  </w:style>
  <w:style w:type="paragraph" w:styleId="15">
    <w:name w:val="Normal (Web)"/>
    <w:basedOn w:val="1"/>
    <w:autoRedefine/>
    <w:qFormat/>
    <w:uiPriority w:val="0"/>
    <w:pPr>
      <w:spacing w:before="100" w:beforeAutospacing="1" w:after="100" w:afterAutospacing="1"/>
      <w:jc w:val="left"/>
    </w:pPr>
    <w:rPr>
      <w:kern w:val="0"/>
      <w:sz w:val="24"/>
    </w:rPr>
  </w:style>
  <w:style w:type="paragraph" w:styleId="16">
    <w:name w:val="annotation subject"/>
    <w:basedOn w:val="5"/>
    <w:next w:val="5"/>
    <w:link w:val="49"/>
    <w:qFormat/>
    <w:uiPriority w:val="0"/>
    <w:rPr>
      <w:b/>
      <w:bCs/>
    </w:rPr>
  </w:style>
  <w:style w:type="paragraph" w:styleId="17">
    <w:name w:val="Body Text First Indent 2"/>
    <w:basedOn w:val="7"/>
    <w:unhideWhenUsed/>
    <w:qFormat/>
    <w:uiPriority w:val="0"/>
    <w:pPr>
      <w:spacing w:after="120" w:line="240" w:lineRule="auto"/>
      <w:ind w:left="420" w:leftChars="200"/>
    </w:pPr>
    <w:rPr>
      <w:rFonts w:ascii="Calibri" w:hAnsi="Calibri"/>
      <w:szCs w:val="22"/>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autoRedefine/>
    <w:qFormat/>
    <w:uiPriority w:val="22"/>
    <w:rPr>
      <w:b/>
      <w:bCs/>
    </w:rPr>
  </w:style>
  <w:style w:type="character" w:styleId="22">
    <w:name w:val="page number"/>
    <w:basedOn w:val="20"/>
    <w:autoRedefine/>
    <w:semiHidden/>
    <w:qFormat/>
    <w:uiPriority w:val="0"/>
  </w:style>
  <w:style w:type="character" w:styleId="23">
    <w:name w:val="Hyperlink"/>
    <w:basedOn w:val="20"/>
    <w:autoRedefine/>
    <w:qFormat/>
    <w:uiPriority w:val="0"/>
    <w:rPr>
      <w:color w:val="0000FF"/>
      <w:u w:val="single"/>
    </w:rPr>
  </w:style>
  <w:style w:type="character" w:styleId="24">
    <w:name w:val="annotation reference"/>
    <w:basedOn w:val="20"/>
    <w:qFormat/>
    <w:uiPriority w:val="0"/>
    <w:rPr>
      <w:sz w:val="21"/>
      <w:szCs w:val="21"/>
    </w:rPr>
  </w:style>
  <w:style w:type="paragraph" w:customStyle="1" w:styleId="25">
    <w:name w:val="样式 行距: 1.5 倍行距 首行缩进:  2 字符"/>
    <w:basedOn w:val="1"/>
    <w:qFormat/>
    <w:uiPriority w:val="0"/>
    <w:pPr>
      <w:adjustRightInd w:val="0"/>
      <w:snapToGrid w:val="0"/>
      <w:spacing w:line="460" w:lineRule="exact"/>
    </w:pPr>
  </w:style>
  <w:style w:type="character" w:customStyle="1" w:styleId="26">
    <w:name w:val="标题 3 字符"/>
    <w:basedOn w:val="20"/>
    <w:link w:val="4"/>
    <w:autoRedefine/>
    <w:qFormat/>
    <w:uiPriority w:val="0"/>
    <w:rPr>
      <w:b/>
      <w:kern w:val="2"/>
      <w:sz w:val="24"/>
    </w:rPr>
  </w:style>
  <w:style w:type="character" w:customStyle="1" w:styleId="27">
    <w:name w:val="纯文本 字符"/>
    <w:basedOn w:val="20"/>
    <w:link w:val="8"/>
    <w:autoRedefine/>
    <w:qFormat/>
    <w:uiPriority w:val="0"/>
    <w:rPr>
      <w:rFonts w:ascii="宋体" w:hAnsi="Courier New" w:cs="Courier New"/>
      <w:kern w:val="2"/>
      <w:sz w:val="21"/>
      <w:szCs w:val="21"/>
    </w:rPr>
  </w:style>
  <w:style w:type="paragraph" w:customStyle="1" w:styleId="28">
    <w:name w:val="Char"/>
    <w:basedOn w:val="1"/>
    <w:autoRedefine/>
    <w:qFormat/>
    <w:uiPriority w:val="0"/>
    <w:rPr>
      <w:rFonts w:ascii="仿宋_GB2312" w:eastAsia="仿宋_GB2312"/>
      <w:b/>
      <w:sz w:val="32"/>
      <w:szCs w:val="32"/>
    </w:rPr>
  </w:style>
  <w:style w:type="paragraph" w:customStyle="1" w:styleId="29">
    <w:name w:val="样式 (西文) 宋体 行距: 1.5 倍行距"/>
    <w:basedOn w:val="1"/>
    <w:autoRedefine/>
    <w:qFormat/>
    <w:uiPriority w:val="0"/>
    <w:pPr>
      <w:spacing w:line="360" w:lineRule="auto"/>
    </w:pPr>
    <w:rPr>
      <w:rFonts w:ascii="宋体" w:hAnsi="宋体" w:cs="宋体"/>
    </w:rPr>
  </w:style>
  <w:style w:type="character" w:customStyle="1" w:styleId="30">
    <w:name w:val="页眉 字符"/>
    <w:basedOn w:val="20"/>
    <w:link w:val="12"/>
    <w:autoRedefine/>
    <w:qFormat/>
    <w:uiPriority w:val="0"/>
    <w:rPr>
      <w:kern w:val="2"/>
      <w:sz w:val="18"/>
      <w:szCs w:val="18"/>
    </w:rPr>
  </w:style>
  <w:style w:type="character" w:customStyle="1" w:styleId="31">
    <w:name w:val="页脚 字符"/>
    <w:basedOn w:val="20"/>
    <w:link w:val="11"/>
    <w:autoRedefine/>
    <w:qFormat/>
    <w:uiPriority w:val="99"/>
    <w:rPr>
      <w:kern w:val="2"/>
      <w:sz w:val="18"/>
      <w:szCs w:val="18"/>
    </w:rPr>
  </w:style>
  <w:style w:type="character" w:customStyle="1" w:styleId="32">
    <w:name w:val="标题 2 字符"/>
    <w:basedOn w:val="20"/>
    <w:link w:val="3"/>
    <w:autoRedefine/>
    <w:semiHidden/>
    <w:qFormat/>
    <w:uiPriority w:val="0"/>
    <w:rPr>
      <w:rFonts w:asciiTheme="majorHAnsi" w:hAnsiTheme="majorHAnsi" w:eastAsiaTheme="majorEastAsia" w:cstheme="majorBidi"/>
      <w:b/>
      <w:bCs/>
      <w:kern w:val="2"/>
      <w:sz w:val="32"/>
      <w:szCs w:val="32"/>
    </w:rPr>
  </w:style>
  <w:style w:type="paragraph" w:customStyle="1" w:styleId="33">
    <w:name w:val="列表段落1"/>
    <w:basedOn w:val="1"/>
    <w:autoRedefine/>
    <w:qFormat/>
    <w:uiPriority w:val="34"/>
    <w:pPr>
      <w:ind w:firstLine="420" w:firstLineChars="200"/>
    </w:pPr>
    <w:rPr>
      <w:rFonts w:ascii="Calibri" w:hAnsi="Calibri"/>
      <w:szCs w:val="22"/>
    </w:rPr>
  </w:style>
  <w:style w:type="character" w:customStyle="1" w:styleId="34">
    <w:name w:val="标题 1 字符"/>
    <w:basedOn w:val="20"/>
    <w:link w:val="2"/>
    <w:autoRedefine/>
    <w:qFormat/>
    <w:uiPriority w:val="0"/>
    <w:rPr>
      <w:b/>
      <w:bCs/>
      <w:kern w:val="44"/>
      <w:sz w:val="44"/>
      <w:szCs w:val="44"/>
    </w:rPr>
  </w:style>
  <w:style w:type="paragraph" w:customStyle="1" w:styleId="35">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6">
    <w:name w:val="_Style 1"/>
    <w:basedOn w:val="1"/>
    <w:autoRedefine/>
    <w:qFormat/>
    <w:uiPriority w:val="34"/>
    <w:pPr>
      <w:ind w:firstLine="420" w:firstLineChars="200"/>
    </w:pPr>
  </w:style>
  <w:style w:type="paragraph" w:customStyle="1" w:styleId="37">
    <w:name w:val="样式3"/>
    <w:basedOn w:val="1"/>
    <w:autoRedefine/>
    <w:qFormat/>
    <w:uiPriority w:val="0"/>
    <w:pPr>
      <w:spacing w:line="0" w:lineRule="atLeast"/>
      <w:outlineLvl w:val="0"/>
    </w:pPr>
    <w:rPr>
      <w:rFonts w:ascii="宋体" w:hAnsi="Courier New"/>
      <w:sz w:val="28"/>
      <w:szCs w:val="24"/>
    </w:rPr>
  </w:style>
  <w:style w:type="paragraph" w:customStyle="1" w:styleId="38">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9">
    <w:name w:val="招标文件样式2"/>
    <w:basedOn w:val="1"/>
    <w:autoRedefine/>
    <w:qFormat/>
    <w:uiPriority w:val="99"/>
    <w:pPr>
      <w:jc w:val="center"/>
      <w:outlineLvl w:val="0"/>
    </w:pPr>
    <w:rPr>
      <w:rFonts w:ascii="宋体" w:hAnsi="宋体"/>
      <w:b/>
      <w:sz w:val="28"/>
      <w:szCs w:val="28"/>
    </w:rPr>
  </w:style>
  <w:style w:type="paragraph" w:customStyle="1" w:styleId="40">
    <w:name w:val="列出段落1"/>
    <w:basedOn w:val="1"/>
    <w:autoRedefine/>
    <w:qFormat/>
    <w:uiPriority w:val="99"/>
    <w:pPr>
      <w:ind w:firstLine="420" w:firstLineChars="200"/>
    </w:pPr>
  </w:style>
  <w:style w:type="paragraph" w:customStyle="1" w:styleId="41">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2">
    <w:name w:val="List Paragraph1"/>
    <w:basedOn w:val="1"/>
    <w:autoRedefine/>
    <w:qFormat/>
    <w:uiPriority w:val="99"/>
    <w:pPr>
      <w:ind w:firstLine="420" w:firstLineChars="200"/>
    </w:pPr>
  </w:style>
  <w:style w:type="paragraph" w:customStyle="1" w:styleId="43">
    <w:name w:val="msolistparagraph"/>
    <w:basedOn w:val="1"/>
    <w:autoRedefine/>
    <w:qFormat/>
    <w:uiPriority w:val="0"/>
    <w:pPr>
      <w:adjustRightInd w:val="0"/>
      <w:snapToGrid w:val="0"/>
      <w:ind w:firstLine="420" w:firstLineChars="200"/>
    </w:pPr>
    <w:rPr>
      <w:sz w:val="28"/>
      <w:szCs w:val="24"/>
    </w:rPr>
  </w:style>
  <w:style w:type="character" w:customStyle="1" w:styleId="44">
    <w:name w:val="font31"/>
    <w:basedOn w:val="20"/>
    <w:autoRedefine/>
    <w:qFormat/>
    <w:uiPriority w:val="0"/>
    <w:rPr>
      <w:rFonts w:hint="eastAsia" w:ascii="宋体" w:hAnsi="宋体" w:eastAsia="宋体" w:cs="Times New Roman"/>
      <w:color w:val="000000"/>
      <w:sz w:val="20"/>
      <w:szCs w:val="20"/>
      <w:u w:val="none"/>
    </w:rPr>
  </w:style>
  <w:style w:type="character" w:customStyle="1" w:styleId="45">
    <w:name w:val="font21"/>
    <w:basedOn w:val="20"/>
    <w:autoRedefine/>
    <w:qFormat/>
    <w:uiPriority w:val="0"/>
    <w:rPr>
      <w:rFonts w:hint="eastAsia" w:ascii="宋体" w:hAnsi="宋体" w:eastAsia="宋体" w:cs="宋体"/>
      <w:color w:val="000000"/>
      <w:sz w:val="18"/>
      <w:szCs w:val="18"/>
      <w:u w:val="none"/>
    </w:rPr>
  </w:style>
  <w:style w:type="paragraph" w:customStyle="1" w:styleId="46">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7">
    <w:name w:val="Table Text"/>
    <w:basedOn w:val="1"/>
    <w:semiHidden/>
    <w:qFormat/>
    <w:uiPriority w:val="0"/>
    <w:rPr>
      <w:rFonts w:ascii="宋体" w:hAnsi="宋体" w:cs="宋体"/>
      <w:szCs w:val="21"/>
      <w:lang w:eastAsia="en-US"/>
    </w:rPr>
  </w:style>
  <w:style w:type="character" w:customStyle="1" w:styleId="48">
    <w:name w:val="批注文字 字符"/>
    <w:basedOn w:val="20"/>
    <w:link w:val="5"/>
    <w:semiHidden/>
    <w:qFormat/>
    <w:uiPriority w:val="99"/>
    <w:rPr>
      <w:kern w:val="2"/>
      <w:sz w:val="21"/>
    </w:rPr>
  </w:style>
  <w:style w:type="character" w:customStyle="1" w:styleId="49">
    <w:name w:val="批注主题 字符"/>
    <w:basedOn w:val="48"/>
    <w:link w:val="16"/>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6973</Words>
  <Characters>7150</Characters>
  <Lines>63</Lines>
  <Paragraphs>17</Paragraphs>
  <TotalTime>8</TotalTime>
  <ScaleCrop>false</ScaleCrop>
  <LinksUpToDate>false</LinksUpToDate>
  <CharactersWithSpaces>8072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2026-05-28T08:02:00Z</dcterms:created>
  <dc:creator>User</dc:creator>
  <cp:lastModifiedBy>乐乐</cp:lastModifiedBy>
  <cp:lastPrinted>2024-09-11T08:19:00Z</cp:lastPrinted>
  <dcterms:modified xsi:type="dcterms:W3CDTF">2026-06-02T07:17:30Z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897D1F3205124A16A11C11DD874EFA6D_13</vt:lpwstr>
  </property>
  <property fmtid="{D5CDD505-2E9C-101B-9397-08002B2CF9AE}" pid="4" name="KSOTemplateDocerSaveRecord">
    <vt:lpwstr>eyJoZGlkIjoiYmQyMzEwZDg0NDc1ZTBhYzYyYWY0NjAzMTllZmQ3Y2EiLCJ1c2VySWQiOiI0MTA5ODU3OTQifQ==</vt:lpwstr>
  </property>
</Properties>
</file>