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E3739C">
      <w:pPr>
        <w:keepNext w:val="0"/>
        <w:keepLines w:val="0"/>
        <w:pageBreakBefore w:val="0"/>
        <w:widowControl w:val="0"/>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sz w:val="40"/>
          <w:szCs w:val="40"/>
          <w:lang w:eastAsia="zh-CN"/>
        </w:rPr>
      </w:pPr>
      <w:r>
        <w:rPr>
          <w:rFonts w:hint="eastAsia" w:ascii="宋体" w:hAnsi="宋体" w:eastAsia="宋体" w:cs="宋体"/>
          <w:b/>
          <w:bCs/>
          <w:sz w:val="40"/>
          <w:szCs w:val="40"/>
          <w:lang w:val="en-US" w:eastAsia="zh-CN"/>
        </w:rPr>
        <w:t>深圳市儿童医院设备采购</w:t>
      </w:r>
      <w:r>
        <w:rPr>
          <w:rFonts w:hint="eastAsia" w:ascii="宋体" w:hAnsi="宋体" w:eastAsia="宋体" w:cs="宋体"/>
          <w:b/>
          <w:bCs/>
          <w:sz w:val="40"/>
          <w:szCs w:val="40"/>
          <w:lang w:eastAsia="zh-CN"/>
        </w:rPr>
        <w:t>用户需求书</w:t>
      </w:r>
    </w:p>
    <w:tbl>
      <w:tblPr>
        <w:tblStyle w:val="4"/>
        <w:tblW w:w="7412" w:type="dxa"/>
        <w:tblInd w:w="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84"/>
        <w:gridCol w:w="838"/>
        <w:gridCol w:w="1916"/>
        <w:gridCol w:w="196"/>
        <w:gridCol w:w="1550"/>
        <w:gridCol w:w="2228"/>
      </w:tblGrid>
      <w:tr w14:paraId="4B955E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2" w:type="dxa"/>
            <w:gridSpan w:val="2"/>
            <w:vAlign w:val="center"/>
          </w:tcPr>
          <w:p w14:paraId="42453FA8">
            <w:pPr>
              <w:jc w:val="center"/>
              <w:rPr>
                <w:rFonts w:hint="default" w:eastAsiaTheme="minorEastAsia"/>
                <w:sz w:val="28"/>
                <w:szCs w:val="36"/>
                <w:vertAlign w:val="baseline"/>
                <w:lang w:val="en-US" w:eastAsia="zh-CN"/>
              </w:rPr>
            </w:pPr>
            <w:r>
              <w:rPr>
                <w:rFonts w:hint="eastAsia"/>
                <w:spacing w:val="0"/>
                <w:kern w:val="0"/>
                <w:sz w:val="28"/>
                <w:szCs w:val="36"/>
                <w:fitText w:val="1120" w:id="1641628474"/>
                <w:vertAlign w:val="baseline"/>
                <w:lang w:val="en-US" w:eastAsia="zh-CN"/>
              </w:rPr>
              <w:t>项目名称</w:t>
            </w:r>
          </w:p>
        </w:tc>
        <w:tc>
          <w:tcPr>
            <w:tcW w:w="2112" w:type="dxa"/>
            <w:gridSpan w:val="2"/>
            <w:vAlign w:val="center"/>
          </w:tcPr>
          <w:p w14:paraId="46CDD637">
            <w:pPr>
              <w:jc w:val="center"/>
              <w:rPr>
                <w:rFonts w:hint="default" w:asciiTheme="minorEastAsia" w:hAnsiTheme="minorEastAsia" w:eastAsiaTheme="minorEastAsia" w:cstheme="minorEastAsia"/>
                <w:sz w:val="28"/>
                <w:szCs w:val="36"/>
                <w:vertAlign w:val="baseline"/>
                <w:lang w:val="en-US" w:eastAsia="zh-CN"/>
              </w:rPr>
            </w:pPr>
            <w:r>
              <w:rPr>
                <w:rFonts w:hint="eastAsia" w:asciiTheme="minorEastAsia" w:hAnsiTheme="minorEastAsia" w:cstheme="minorEastAsia"/>
                <w:sz w:val="28"/>
                <w:szCs w:val="36"/>
                <w:vertAlign w:val="baseline"/>
                <w:lang w:val="en-US" w:eastAsia="zh-CN"/>
              </w:rPr>
              <w:t>OTO</w:t>
            </w:r>
            <w:r>
              <w:rPr>
                <w:rFonts w:hint="default" w:asciiTheme="minorEastAsia" w:hAnsiTheme="minorEastAsia" w:cstheme="minorEastAsia"/>
                <w:sz w:val="28"/>
                <w:szCs w:val="36"/>
                <w:vertAlign w:val="baseline"/>
                <w:lang w:val="en-US" w:eastAsia="zh-CN"/>
              </w:rPr>
              <w:t>’</w:t>
            </w:r>
            <w:r>
              <w:rPr>
                <w:rFonts w:hint="eastAsia" w:asciiTheme="minorEastAsia" w:hAnsiTheme="minorEastAsia" w:cstheme="minorEastAsia"/>
                <w:sz w:val="28"/>
                <w:szCs w:val="36"/>
                <w:vertAlign w:val="baseline"/>
                <w:lang w:val="en-US" w:eastAsia="zh-CN"/>
              </w:rPr>
              <w:t>VIEW手术系统</w:t>
            </w:r>
          </w:p>
        </w:tc>
        <w:tc>
          <w:tcPr>
            <w:tcW w:w="1550" w:type="dxa"/>
            <w:vAlign w:val="center"/>
          </w:tcPr>
          <w:p w14:paraId="3BA10410">
            <w:pPr>
              <w:jc w:val="center"/>
              <w:rPr>
                <w:rFonts w:hint="eastAsia" w:asciiTheme="minorEastAsia" w:hAnsiTheme="minorEastAsia" w:eastAsiaTheme="minorEastAsia" w:cstheme="minorEastAsia"/>
                <w:sz w:val="28"/>
                <w:szCs w:val="36"/>
                <w:vertAlign w:val="baseline"/>
                <w:lang w:val="en-US" w:eastAsia="zh-CN"/>
              </w:rPr>
            </w:pPr>
            <w:r>
              <w:rPr>
                <w:rFonts w:hint="eastAsia" w:asciiTheme="minorEastAsia" w:hAnsiTheme="minorEastAsia" w:eastAsiaTheme="minorEastAsia" w:cstheme="minorEastAsia"/>
                <w:sz w:val="28"/>
                <w:szCs w:val="36"/>
                <w:vertAlign w:val="baseline"/>
                <w:lang w:val="en-US" w:eastAsia="zh-CN"/>
              </w:rPr>
              <w:t>预算单价（元）</w:t>
            </w:r>
          </w:p>
        </w:tc>
        <w:tc>
          <w:tcPr>
            <w:tcW w:w="2228" w:type="dxa"/>
            <w:vAlign w:val="center"/>
          </w:tcPr>
          <w:p w14:paraId="2A8C2F01">
            <w:pPr>
              <w:jc w:val="center"/>
              <w:rPr>
                <w:rFonts w:hint="default" w:asciiTheme="minorEastAsia" w:hAnsiTheme="minorEastAsia" w:eastAsiaTheme="minorEastAsia" w:cstheme="minorEastAsia"/>
                <w:sz w:val="28"/>
                <w:szCs w:val="36"/>
                <w:vertAlign w:val="baseline"/>
                <w:lang w:val="en-US" w:eastAsia="zh-CN"/>
              </w:rPr>
            </w:pPr>
            <w:r>
              <w:rPr>
                <w:rFonts w:hint="eastAsia" w:asciiTheme="minorEastAsia" w:hAnsiTheme="minorEastAsia" w:cstheme="minorEastAsia"/>
                <w:sz w:val="28"/>
                <w:szCs w:val="36"/>
                <w:vertAlign w:val="baseline"/>
                <w:lang w:val="en-US" w:eastAsia="zh-CN"/>
              </w:rPr>
              <w:t>195000</w:t>
            </w:r>
          </w:p>
        </w:tc>
      </w:tr>
      <w:tr w14:paraId="0550A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2" w:type="dxa"/>
            <w:gridSpan w:val="2"/>
            <w:vAlign w:val="center"/>
          </w:tcPr>
          <w:p w14:paraId="5A36550D">
            <w:pPr>
              <w:jc w:val="center"/>
              <w:rPr>
                <w:rFonts w:hint="default" w:eastAsiaTheme="minorEastAsia"/>
                <w:sz w:val="28"/>
                <w:szCs w:val="36"/>
                <w:vertAlign w:val="baseline"/>
                <w:lang w:val="en-US" w:eastAsia="zh-CN"/>
              </w:rPr>
            </w:pPr>
            <w:r>
              <w:rPr>
                <w:rFonts w:hint="eastAsia"/>
                <w:sz w:val="28"/>
                <w:szCs w:val="36"/>
                <w:vertAlign w:val="baseline"/>
                <w:lang w:val="en-US" w:eastAsia="zh-CN"/>
              </w:rPr>
              <w:t>预算数量</w:t>
            </w:r>
          </w:p>
        </w:tc>
        <w:tc>
          <w:tcPr>
            <w:tcW w:w="2112" w:type="dxa"/>
            <w:gridSpan w:val="2"/>
            <w:vAlign w:val="center"/>
          </w:tcPr>
          <w:p w14:paraId="7C8AF726">
            <w:pPr>
              <w:jc w:val="center"/>
              <w:rPr>
                <w:rFonts w:hint="eastAsia" w:asciiTheme="minorEastAsia" w:hAnsiTheme="minorEastAsia" w:eastAsiaTheme="minorEastAsia" w:cstheme="minorEastAsia"/>
                <w:sz w:val="28"/>
                <w:szCs w:val="36"/>
                <w:vertAlign w:val="baseline"/>
                <w:lang w:val="en-US" w:eastAsia="zh-CN"/>
              </w:rPr>
            </w:pPr>
            <w:r>
              <w:rPr>
                <w:rFonts w:hint="eastAsia" w:asciiTheme="minorEastAsia" w:hAnsiTheme="minorEastAsia" w:cstheme="minorEastAsia"/>
                <w:sz w:val="28"/>
                <w:szCs w:val="36"/>
                <w:vertAlign w:val="baseline"/>
                <w:lang w:val="en-US" w:eastAsia="zh-CN"/>
              </w:rPr>
              <w:t>1</w:t>
            </w:r>
          </w:p>
        </w:tc>
        <w:tc>
          <w:tcPr>
            <w:tcW w:w="1550" w:type="dxa"/>
            <w:vAlign w:val="center"/>
          </w:tcPr>
          <w:p w14:paraId="72596EF8">
            <w:pPr>
              <w:jc w:val="center"/>
              <w:rPr>
                <w:rFonts w:hint="eastAsia" w:asciiTheme="minorEastAsia" w:hAnsiTheme="minorEastAsia" w:eastAsiaTheme="minorEastAsia" w:cstheme="minorEastAsia"/>
                <w:sz w:val="28"/>
                <w:szCs w:val="36"/>
                <w:vertAlign w:val="baseline"/>
                <w:lang w:val="en-US" w:eastAsia="zh-CN"/>
              </w:rPr>
            </w:pPr>
            <w:r>
              <w:rPr>
                <w:rFonts w:hint="eastAsia" w:asciiTheme="minorEastAsia" w:hAnsiTheme="minorEastAsia" w:eastAsiaTheme="minorEastAsia" w:cstheme="minorEastAsia"/>
                <w:sz w:val="28"/>
                <w:szCs w:val="36"/>
                <w:vertAlign w:val="baseline"/>
                <w:lang w:val="en-US" w:eastAsia="zh-CN"/>
              </w:rPr>
              <w:t>单位</w:t>
            </w:r>
          </w:p>
        </w:tc>
        <w:tc>
          <w:tcPr>
            <w:tcW w:w="2228" w:type="dxa"/>
            <w:vAlign w:val="center"/>
          </w:tcPr>
          <w:p w14:paraId="3C59BC0D">
            <w:pPr>
              <w:jc w:val="center"/>
              <w:rPr>
                <w:rFonts w:hint="eastAsia" w:asciiTheme="minorEastAsia" w:hAnsiTheme="minorEastAsia" w:eastAsiaTheme="minorEastAsia" w:cstheme="minorEastAsia"/>
                <w:sz w:val="28"/>
                <w:szCs w:val="36"/>
                <w:vertAlign w:val="baseline"/>
                <w:lang w:val="en-US" w:eastAsia="zh-CN"/>
              </w:rPr>
            </w:pPr>
            <w:r>
              <w:rPr>
                <w:rFonts w:hint="eastAsia" w:asciiTheme="minorEastAsia" w:hAnsiTheme="minorEastAsia" w:eastAsiaTheme="minorEastAsia" w:cstheme="minorEastAsia"/>
                <w:sz w:val="28"/>
                <w:szCs w:val="36"/>
                <w:vertAlign w:val="baseline"/>
                <w:lang w:val="en-US" w:eastAsia="zh-CN"/>
              </w:rPr>
              <w:t>台</w:t>
            </w:r>
          </w:p>
        </w:tc>
      </w:tr>
      <w:tr w14:paraId="2B7221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1522" w:type="dxa"/>
            <w:gridSpan w:val="2"/>
            <w:vAlign w:val="center"/>
          </w:tcPr>
          <w:p w14:paraId="5DD0B9F5">
            <w:pPr>
              <w:jc w:val="center"/>
              <w:rPr>
                <w:rFonts w:hint="eastAsia"/>
                <w:sz w:val="28"/>
                <w:szCs w:val="36"/>
                <w:vertAlign w:val="baseline"/>
                <w:lang w:val="en-US" w:eastAsia="zh-CN"/>
              </w:rPr>
            </w:pPr>
            <w:r>
              <w:rPr>
                <w:rFonts w:hint="eastAsia"/>
                <w:sz w:val="28"/>
                <w:szCs w:val="36"/>
                <w:vertAlign w:val="baseline"/>
                <w:lang w:val="en-US" w:eastAsia="zh-CN"/>
              </w:rPr>
              <w:t>预算总价</w:t>
            </w:r>
          </w:p>
          <w:p w14:paraId="0F2FF548">
            <w:pPr>
              <w:jc w:val="center"/>
              <w:rPr>
                <w:rFonts w:hint="default" w:eastAsiaTheme="minorEastAsia"/>
                <w:sz w:val="28"/>
                <w:szCs w:val="36"/>
                <w:vertAlign w:val="baseline"/>
                <w:lang w:val="en-US" w:eastAsia="zh-CN"/>
              </w:rPr>
            </w:pPr>
            <w:r>
              <w:rPr>
                <w:rFonts w:hint="eastAsia"/>
                <w:sz w:val="28"/>
                <w:szCs w:val="36"/>
                <w:vertAlign w:val="baseline"/>
                <w:lang w:val="en-US" w:eastAsia="zh-CN"/>
              </w:rPr>
              <w:t>（元）</w:t>
            </w:r>
          </w:p>
        </w:tc>
        <w:tc>
          <w:tcPr>
            <w:tcW w:w="2112" w:type="dxa"/>
            <w:gridSpan w:val="2"/>
            <w:vAlign w:val="center"/>
          </w:tcPr>
          <w:p w14:paraId="6A05201E">
            <w:pPr>
              <w:jc w:val="center"/>
              <w:rPr>
                <w:rFonts w:hint="default" w:asciiTheme="minorEastAsia" w:hAnsiTheme="minorEastAsia" w:eastAsiaTheme="minorEastAsia" w:cstheme="minorEastAsia"/>
                <w:sz w:val="28"/>
                <w:szCs w:val="36"/>
                <w:vertAlign w:val="baseline"/>
                <w:lang w:val="en-US" w:eastAsia="zh-CN"/>
              </w:rPr>
            </w:pPr>
            <w:r>
              <w:rPr>
                <w:rFonts w:hint="eastAsia" w:asciiTheme="minorEastAsia" w:hAnsiTheme="minorEastAsia" w:cstheme="minorEastAsia"/>
                <w:sz w:val="28"/>
                <w:szCs w:val="36"/>
                <w:vertAlign w:val="baseline"/>
                <w:lang w:val="en-US" w:eastAsia="zh-CN"/>
              </w:rPr>
              <w:t>195000</w:t>
            </w:r>
          </w:p>
        </w:tc>
        <w:tc>
          <w:tcPr>
            <w:tcW w:w="1550" w:type="dxa"/>
            <w:vAlign w:val="center"/>
          </w:tcPr>
          <w:p w14:paraId="52DBB787">
            <w:pPr>
              <w:jc w:val="center"/>
              <w:rPr>
                <w:rFonts w:hint="eastAsia" w:asciiTheme="minorEastAsia" w:hAnsiTheme="minorEastAsia" w:eastAsiaTheme="minorEastAsia" w:cstheme="minorEastAsia"/>
                <w:sz w:val="28"/>
                <w:szCs w:val="36"/>
                <w:vertAlign w:val="baseline"/>
                <w:lang w:val="en-US" w:eastAsia="zh-CN"/>
              </w:rPr>
            </w:pPr>
            <w:r>
              <w:rPr>
                <w:rFonts w:hint="eastAsia" w:asciiTheme="minorEastAsia" w:hAnsiTheme="minorEastAsia" w:eastAsiaTheme="minorEastAsia" w:cstheme="minorEastAsia"/>
                <w:sz w:val="28"/>
                <w:szCs w:val="36"/>
                <w:vertAlign w:val="baseline"/>
                <w:lang w:val="en-US" w:eastAsia="zh-CN"/>
              </w:rPr>
              <w:t>产地</w:t>
            </w:r>
          </w:p>
        </w:tc>
        <w:tc>
          <w:tcPr>
            <w:tcW w:w="2228" w:type="dxa"/>
            <w:vAlign w:val="center"/>
          </w:tcPr>
          <w:p w14:paraId="7609D6B9">
            <w:pPr>
              <w:jc w:val="center"/>
              <w:rPr>
                <w:rFonts w:hint="eastAsia" w:asciiTheme="minorEastAsia" w:hAnsiTheme="minorEastAsia" w:eastAsiaTheme="minorEastAsia" w:cstheme="minorEastAsia"/>
                <w:sz w:val="28"/>
                <w:szCs w:val="36"/>
                <w:vertAlign w:val="baseline"/>
                <w:lang w:val="en-US" w:eastAsia="zh-CN"/>
              </w:rPr>
            </w:pPr>
            <w:r>
              <w:rPr>
                <w:rFonts w:hint="eastAsia" w:asciiTheme="minorEastAsia" w:hAnsiTheme="minorEastAsia" w:eastAsiaTheme="minorEastAsia" w:cstheme="minorEastAsia"/>
                <w:sz w:val="28"/>
                <w:szCs w:val="36"/>
                <w:vertAlign w:val="baseline"/>
                <w:lang w:val="en-US" w:eastAsia="zh-CN"/>
              </w:rPr>
              <w:t>国产</w:t>
            </w:r>
          </w:p>
        </w:tc>
      </w:tr>
      <w:tr w14:paraId="71860D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2" w:type="dxa"/>
            <w:gridSpan w:val="6"/>
          </w:tcPr>
          <w:p w14:paraId="01E1D297">
            <w:pPr>
              <w:jc w:val="center"/>
              <w:rPr>
                <w:rFonts w:hint="eastAsia" w:asciiTheme="minorEastAsia" w:hAnsiTheme="minorEastAsia" w:eastAsiaTheme="minorEastAsia" w:cstheme="minorEastAsia"/>
                <w:sz w:val="24"/>
                <w:szCs w:val="24"/>
                <w:vertAlign w:val="baseline"/>
              </w:rPr>
            </w:pPr>
            <w:r>
              <w:rPr>
                <w:rFonts w:hint="eastAsia" w:asciiTheme="minorEastAsia" w:hAnsiTheme="minorEastAsia" w:eastAsiaTheme="minorEastAsia" w:cstheme="minorEastAsia"/>
                <w:b/>
                <w:bCs/>
                <w:sz w:val="28"/>
                <w:szCs w:val="28"/>
                <w:vertAlign w:val="baseline"/>
                <w:lang w:val="en-US" w:eastAsia="zh-CN"/>
              </w:rPr>
              <w:t>技术参数</w:t>
            </w:r>
          </w:p>
        </w:tc>
      </w:tr>
      <w:tr w14:paraId="73F7E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08D58DC2">
            <w:pPr>
              <w:jc w:val="center"/>
              <w:rPr>
                <w:rFonts w:hint="eastAsia" w:asciiTheme="minorEastAsia" w:hAnsiTheme="minorEastAsia" w:eastAsiaTheme="minorEastAsia" w:cstheme="minorEastAsia"/>
                <w:sz w:val="24"/>
                <w:szCs w:val="24"/>
                <w:vertAlign w:val="baseline"/>
                <w:lang w:val="en-US" w:eastAsia="zh-CN"/>
              </w:rPr>
            </w:pPr>
            <w:r>
              <w:rPr>
                <w:rFonts w:hint="eastAsia" w:ascii="Times New Roman" w:hAnsi="Times New Roman" w:eastAsia="宋体" w:cs="Times New Roman"/>
                <w:color w:val="auto"/>
                <w:lang w:val="en-US" w:eastAsia="zh-CN"/>
              </w:rPr>
              <w:t>▲</w:t>
            </w:r>
            <w:r>
              <w:rPr>
                <w:rFonts w:hint="eastAsia" w:asciiTheme="minorEastAsia" w:hAnsiTheme="minorEastAsia" w:eastAsiaTheme="minorEastAsia" w:cstheme="minorEastAsia"/>
                <w:sz w:val="24"/>
                <w:szCs w:val="24"/>
                <w:vertAlign w:val="baseline"/>
                <w:lang w:val="en-US" w:eastAsia="zh-CN"/>
              </w:rPr>
              <w:t>1</w:t>
            </w:r>
          </w:p>
        </w:tc>
        <w:tc>
          <w:tcPr>
            <w:tcW w:w="6728" w:type="dxa"/>
            <w:gridSpan w:val="5"/>
            <w:vAlign w:val="center"/>
          </w:tcPr>
          <w:p w14:paraId="4A16CDBA">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Theme="minorEastAsia" w:hAnsiTheme="minorEastAsia" w:eastAsiaTheme="minorEastAsia" w:cstheme="minorEastAsia"/>
                <w:sz w:val="24"/>
                <w:szCs w:val="24"/>
                <w:vertAlign w:val="baseline"/>
              </w:rPr>
            </w:pPr>
            <w:r>
              <w:rPr>
                <w:rFonts w:hint="eastAsia" w:ascii="宋体" w:hAnsi="宋体" w:cs="宋体"/>
                <w:sz w:val="21"/>
                <w:szCs w:val="21"/>
                <w:lang w:val="en-US" w:eastAsia="zh-CN"/>
              </w:rPr>
              <w:t>显示屏</w:t>
            </w:r>
            <w:r>
              <w:rPr>
                <w:rFonts w:hint="eastAsia" w:ascii="宋体" w:hAnsi="宋体" w:eastAsia="宋体" w:cs="宋体"/>
                <w:sz w:val="21"/>
                <w:szCs w:val="21"/>
                <w:lang w:val="en-US" w:eastAsia="zh-CN"/>
              </w:rPr>
              <w:t>≥7英寸高清全彩色液晶触摸屏，具有手柄型号识别与显示、转速显示、手柄运行方向的显示、泵流量显示等功能。</w:t>
            </w:r>
          </w:p>
        </w:tc>
      </w:tr>
      <w:tr w14:paraId="2A05D7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2EF1D6C3">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2</w:t>
            </w:r>
          </w:p>
        </w:tc>
        <w:tc>
          <w:tcPr>
            <w:tcW w:w="6728" w:type="dxa"/>
            <w:gridSpan w:val="5"/>
            <w:vAlign w:val="center"/>
          </w:tcPr>
          <w:p w14:paraId="3A462FE6">
            <w:pPr>
              <w:widowControl/>
              <w:spacing w:before="100" w:beforeAutospacing="1" w:after="100" w:afterAutospacing="1"/>
              <w:jc w:val="both"/>
              <w:rPr>
                <w:rFonts w:hint="eastAsia" w:asciiTheme="minorEastAsia" w:hAnsiTheme="minorEastAsia" w:eastAsiaTheme="minorEastAsia" w:cstheme="minorEastAsia"/>
                <w:sz w:val="24"/>
                <w:szCs w:val="24"/>
                <w:vertAlign w:val="baseline"/>
              </w:rPr>
            </w:pPr>
            <w:r>
              <w:rPr>
                <w:rFonts w:hint="eastAsia" w:ascii="宋体" w:hAnsi="宋体" w:eastAsia="宋体" w:cs="宋体"/>
                <w:sz w:val="21"/>
                <w:szCs w:val="21"/>
                <w:lang w:val="en-US" w:eastAsia="zh-CN"/>
              </w:rPr>
              <w:t>屏幕具有触摸设置功能，对手柄、转速、手柄运行方向、泵流量等功能可进行触摸设置。</w:t>
            </w:r>
          </w:p>
        </w:tc>
      </w:tr>
      <w:tr w14:paraId="2A3B7D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7526CE62">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3</w:t>
            </w:r>
          </w:p>
        </w:tc>
        <w:tc>
          <w:tcPr>
            <w:tcW w:w="6728" w:type="dxa"/>
            <w:gridSpan w:val="5"/>
            <w:vAlign w:val="center"/>
          </w:tcPr>
          <w:p w14:paraId="2C714F36">
            <w:pPr>
              <w:widowControl/>
              <w:spacing w:before="100" w:beforeAutospacing="1" w:after="100" w:afterAutospacing="1"/>
              <w:jc w:val="both"/>
              <w:rPr>
                <w:rFonts w:hint="eastAsia" w:asciiTheme="minorEastAsia" w:hAnsiTheme="minorEastAsia" w:eastAsiaTheme="minorEastAsia" w:cstheme="minorEastAsia"/>
                <w:sz w:val="24"/>
                <w:szCs w:val="24"/>
                <w:vertAlign w:val="baseline"/>
              </w:rPr>
            </w:pPr>
            <w:r>
              <w:rPr>
                <w:rFonts w:hint="eastAsia" w:ascii="宋体" w:hAnsi="宋体" w:eastAsia="宋体" w:cs="宋体"/>
                <w:sz w:val="21"/>
                <w:szCs w:val="21"/>
                <w:lang w:val="en-US" w:eastAsia="zh-CN"/>
              </w:rPr>
              <w:t>后台参数设置：操作用户可以进行转速设置、运行模式的设置、手柄选择；系统设置，语言、按钮发声、默认模式；冷却/冲洗泵的开关和流量调节。手柄转速可通过脚踏开关在标称范围内无级调速。</w:t>
            </w:r>
          </w:p>
        </w:tc>
      </w:tr>
      <w:tr w14:paraId="44AFF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1D9818A8">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4</w:t>
            </w:r>
          </w:p>
        </w:tc>
        <w:tc>
          <w:tcPr>
            <w:tcW w:w="6728" w:type="dxa"/>
            <w:gridSpan w:val="5"/>
            <w:vAlign w:val="center"/>
          </w:tcPr>
          <w:p w14:paraId="16FF4985">
            <w:pPr>
              <w:pStyle w:val="6"/>
              <w:keepNext w:val="0"/>
              <w:keepLines w:val="0"/>
              <w:pageBreakBefore w:val="0"/>
              <w:widowControl w:val="0"/>
              <w:kinsoku/>
              <w:wordWrap/>
              <w:overflowPunct/>
              <w:topLinePunct w:val="0"/>
              <w:autoSpaceDE/>
              <w:autoSpaceDN/>
              <w:bidi w:val="0"/>
              <w:adjustRightInd/>
              <w:snapToGrid/>
              <w:spacing w:line="280" w:lineRule="exact"/>
              <w:ind w:firstLine="0" w:firstLineChars="0"/>
              <w:jc w:val="both"/>
              <w:textAlignment w:val="auto"/>
              <w:rPr>
                <w:rFonts w:hint="eastAsia" w:asciiTheme="minorEastAsia" w:hAnsiTheme="minorEastAsia" w:eastAsiaTheme="minorEastAsia" w:cstheme="minorEastAsia"/>
                <w:sz w:val="24"/>
                <w:szCs w:val="24"/>
                <w:vertAlign w:val="baseline"/>
                <w:lang w:eastAsia="zh-CN"/>
              </w:rPr>
            </w:pPr>
            <w:r>
              <w:rPr>
                <w:rFonts w:hint="eastAsia" w:ascii="宋体" w:hAnsi="宋体" w:eastAsia="宋体" w:cs="宋体"/>
                <w:sz w:val="21"/>
                <w:szCs w:val="21"/>
                <w:lang w:val="en-US" w:eastAsia="zh-CN"/>
              </w:rPr>
              <w:t>主机同一手柄接口可接不同手柄（不区分刨削手柄或高速手柄），具备接入附件识别功能，能识别连接的是否为有效附件，并能识别类型，并根据不同附件类型匹配相应的控制参数</w:t>
            </w:r>
          </w:p>
        </w:tc>
      </w:tr>
      <w:tr w14:paraId="249501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22004775">
            <w:pPr>
              <w:jc w:val="center"/>
              <w:rPr>
                <w:rFonts w:hint="eastAsia" w:asciiTheme="minorEastAsia" w:hAnsiTheme="minorEastAsia" w:eastAsiaTheme="minorEastAsia" w:cstheme="minorEastAsia"/>
                <w:sz w:val="24"/>
                <w:szCs w:val="24"/>
                <w:vertAlign w:val="baseline"/>
                <w:lang w:val="en-US" w:eastAsia="zh-CN"/>
              </w:rPr>
            </w:pPr>
            <w:r>
              <w:rPr>
                <w:rFonts w:hint="eastAsia" w:ascii="Times New Roman" w:hAnsi="Times New Roman" w:eastAsia="宋体" w:cs="Times New Roman"/>
                <w:color w:val="auto"/>
                <w:lang w:val="en-US" w:eastAsia="zh-CN"/>
              </w:rPr>
              <w:t>▲</w:t>
            </w:r>
            <w:r>
              <w:rPr>
                <w:rFonts w:hint="eastAsia" w:asciiTheme="minorEastAsia" w:hAnsiTheme="minorEastAsia" w:eastAsiaTheme="minorEastAsia" w:cstheme="minorEastAsia"/>
                <w:sz w:val="24"/>
                <w:szCs w:val="24"/>
                <w:vertAlign w:val="baseline"/>
                <w:lang w:val="en-US" w:eastAsia="zh-CN"/>
              </w:rPr>
              <w:t>5</w:t>
            </w:r>
          </w:p>
        </w:tc>
        <w:tc>
          <w:tcPr>
            <w:tcW w:w="6728" w:type="dxa"/>
            <w:gridSpan w:val="5"/>
            <w:vAlign w:val="center"/>
          </w:tcPr>
          <w:p w14:paraId="538755B7">
            <w:pPr>
              <w:widowControl/>
              <w:spacing w:before="100" w:beforeAutospacing="1" w:after="100" w:afterAutospacing="1"/>
              <w:jc w:val="both"/>
              <w:rPr>
                <w:rFonts w:hint="eastAsia" w:asciiTheme="minorEastAsia" w:hAnsiTheme="minorEastAsia" w:eastAsiaTheme="minorEastAsia" w:cstheme="minorEastAsia"/>
                <w:sz w:val="24"/>
                <w:szCs w:val="24"/>
                <w:vertAlign w:val="baseline"/>
              </w:rPr>
            </w:pPr>
            <w:r>
              <w:rPr>
                <w:rFonts w:hint="eastAsia" w:ascii="宋体" w:hAnsi="宋体" w:eastAsia="宋体" w:cs="宋体"/>
                <w:color w:val="auto"/>
                <w:sz w:val="21"/>
                <w:szCs w:val="21"/>
                <w:lang w:val="en-US" w:eastAsia="zh-CN"/>
              </w:rPr>
              <w:t>标配单泵，可选配双泵独立开关的冷却/冲洗泵，为手术提供持续灌注和冷却功能，流量可调节</w:t>
            </w:r>
          </w:p>
        </w:tc>
      </w:tr>
      <w:tr w14:paraId="2C1E8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056A841A">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6</w:t>
            </w:r>
          </w:p>
        </w:tc>
        <w:tc>
          <w:tcPr>
            <w:tcW w:w="6728" w:type="dxa"/>
            <w:gridSpan w:val="5"/>
            <w:vAlign w:val="center"/>
          </w:tcPr>
          <w:p w14:paraId="1F64AB95">
            <w:pPr>
              <w:widowControl/>
              <w:spacing w:before="100" w:beforeAutospacing="1" w:after="100" w:afterAutospacing="1"/>
              <w:jc w:val="both"/>
              <w:rPr>
                <w:rFonts w:hint="eastAsia" w:asciiTheme="minorEastAsia" w:hAnsiTheme="minorEastAsia" w:eastAsiaTheme="minorEastAsia" w:cstheme="minorEastAsia"/>
                <w:sz w:val="24"/>
                <w:szCs w:val="24"/>
                <w:vertAlign w:val="baseline"/>
              </w:rPr>
            </w:pPr>
            <w:r>
              <w:rPr>
                <w:rFonts w:hint="eastAsia" w:ascii="宋体" w:hAnsi="宋体" w:eastAsia="宋体" w:cs="宋体"/>
                <w:color w:val="auto"/>
                <w:sz w:val="21"/>
                <w:szCs w:val="21"/>
                <w:lang w:val="en-US" w:eastAsia="zh-CN"/>
              </w:rPr>
              <w:t>预置多种模式，可通过屏幕、脚踏开关等多种方式进行选择切换</w:t>
            </w:r>
          </w:p>
        </w:tc>
      </w:tr>
      <w:tr w14:paraId="4E8A4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4766A3B5">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7</w:t>
            </w:r>
          </w:p>
        </w:tc>
        <w:tc>
          <w:tcPr>
            <w:tcW w:w="6728" w:type="dxa"/>
            <w:gridSpan w:val="5"/>
            <w:vAlign w:val="center"/>
          </w:tcPr>
          <w:p w14:paraId="2CC67A68">
            <w:pPr>
              <w:widowControl/>
              <w:spacing w:before="100" w:beforeAutospacing="1" w:after="100" w:afterAutospacing="1"/>
              <w:jc w:val="both"/>
              <w:rPr>
                <w:rFonts w:hint="eastAsia" w:asciiTheme="minorEastAsia" w:hAnsiTheme="minorEastAsia" w:eastAsiaTheme="minorEastAsia" w:cstheme="minorEastAsia"/>
                <w:sz w:val="24"/>
                <w:szCs w:val="24"/>
                <w:vertAlign w:val="baseline"/>
              </w:rPr>
            </w:pPr>
            <w:r>
              <w:rPr>
                <w:rFonts w:hint="eastAsia" w:ascii="宋体" w:hAnsi="宋体" w:eastAsia="宋体" w:cs="宋体"/>
                <w:color w:val="auto"/>
                <w:sz w:val="21"/>
                <w:szCs w:val="21"/>
                <w:lang w:val="en-US" w:eastAsia="zh-CN"/>
              </w:rPr>
              <w:t>设定的模式和转速具有自动记忆功能，下次开机会自动跳转至记忆</w:t>
            </w:r>
            <w:r>
              <w:rPr>
                <w:rFonts w:hint="eastAsia" w:ascii="宋体" w:hAnsi="宋体" w:cs="宋体"/>
                <w:color w:val="auto"/>
                <w:sz w:val="21"/>
                <w:szCs w:val="21"/>
                <w:lang w:val="en-US" w:eastAsia="zh-CN"/>
              </w:rPr>
              <w:t>模</w:t>
            </w:r>
            <w:r>
              <w:rPr>
                <w:rFonts w:hint="eastAsia" w:ascii="宋体" w:hAnsi="宋体" w:eastAsia="宋体" w:cs="宋体"/>
                <w:color w:val="auto"/>
                <w:sz w:val="21"/>
                <w:szCs w:val="21"/>
                <w:lang w:val="en-US" w:eastAsia="zh-CN"/>
              </w:rPr>
              <w:t>式。</w:t>
            </w:r>
          </w:p>
        </w:tc>
      </w:tr>
      <w:tr w14:paraId="20A247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047FFBD7">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8</w:t>
            </w:r>
          </w:p>
        </w:tc>
        <w:tc>
          <w:tcPr>
            <w:tcW w:w="6728" w:type="dxa"/>
            <w:gridSpan w:val="5"/>
            <w:vAlign w:val="center"/>
          </w:tcPr>
          <w:p w14:paraId="43904943">
            <w:pPr>
              <w:widowControl/>
              <w:spacing w:before="100" w:beforeAutospacing="1" w:after="100" w:afterAutospacing="1"/>
              <w:jc w:val="both"/>
              <w:rPr>
                <w:rFonts w:hint="eastAsia" w:asciiTheme="minorEastAsia" w:hAnsiTheme="minorEastAsia" w:eastAsiaTheme="minorEastAsia" w:cstheme="minorEastAsia"/>
                <w:sz w:val="24"/>
                <w:szCs w:val="24"/>
                <w:vertAlign w:val="baseline"/>
              </w:rPr>
            </w:pPr>
            <w:r>
              <w:rPr>
                <w:rFonts w:hint="eastAsia" w:ascii="宋体" w:hAnsi="宋体" w:eastAsia="宋体" w:cs="宋体"/>
                <w:color w:val="auto"/>
                <w:sz w:val="21"/>
                <w:szCs w:val="21"/>
                <w:lang w:val="en-US" w:eastAsia="zh-CN"/>
              </w:rPr>
              <w:t>系统具有自检和错误提示功能，发生故障自动停止工作并显示故障代码，方便查找故障原因，发生故障后主机自动停止工作，确保手术安全。</w:t>
            </w:r>
          </w:p>
        </w:tc>
      </w:tr>
      <w:tr w14:paraId="76E6D3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3A2E1426">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9</w:t>
            </w:r>
          </w:p>
        </w:tc>
        <w:tc>
          <w:tcPr>
            <w:tcW w:w="6728" w:type="dxa"/>
            <w:gridSpan w:val="5"/>
            <w:vAlign w:val="center"/>
          </w:tcPr>
          <w:p w14:paraId="79AC3F32">
            <w:pPr>
              <w:widowControl/>
              <w:spacing w:before="100" w:beforeAutospacing="1" w:after="100" w:afterAutospacing="1"/>
              <w:jc w:val="both"/>
              <w:rPr>
                <w:rFonts w:hint="eastAsia" w:asciiTheme="minorEastAsia" w:hAnsiTheme="minorEastAsia" w:eastAsiaTheme="minorEastAsia" w:cstheme="minorEastAsia"/>
                <w:sz w:val="24"/>
                <w:szCs w:val="24"/>
                <w:vertAlign w:val="baseline"/>
              </w:rPr>
            </w:pPr>
            <w:r>
              <w:rPr>
                <w:rFonts w:hint="eastAsia" w:cs="Times New Roman"/>
                <w:color w:val="auto"/>
                <w:lang w:val="en-US" w:eastAsia="zh-CN"/>
              </w:rPr>
              <w:t>脚踏开关</w:t>
            </w:r>
            <w:r>
              <w:rPr>
                <w:rFonts w:hint="eastAsia" w:ascii="宋体" w:hAnsi="宋体" w:eastAsia="宋体" w:cs="宋体"/>
                <w:color w:val="auto"/>
                <w:sz w:val="21"/>
                <w:szCs w:val="21"/>
                <w:lang w:val="en-US" w:eastAsia="zh-CN"/>
              </w:rPr>
              <w:t>全金属材质，密封型脚踏开关，防水等级 IPX8。</w:t>
            </w:r>
          </w:p>
        </w:tc>
      </w:tr>
      <w:tr w14:paraId="624A7D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62C59216">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10</w:t>
            </w:r>
          </w:p>
        </w:tc>
        <w:tc>
          <w:tcPr>
            <w:tcW w:w="6728" w:type="dxa"/>
            <w:gridSpan w:val="5"/>
            <w:vAlign w:val="center"/>
          </w:tcPr>
          <w:p w14:paraId="6B720861">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Theme="minorEastAsia" w:hAnsiTheme="minorEastAsia" w:eastAsiaTheme="minorEastAsia" w:cstheme="minorEastAsia"/>
                <w:sz w:val="24"/>
                <w:szCs w:val="24"/>
                <w:vertAlign w:val="baseline"/>
              </w:rPr>
            </w:pPr>
            <w:r>
              <w:rPr>
                <w:rFonts w:hint="default" w:ascii="宋体" w:hAnsi="宋体" w:eastAsia="宋体" w:cs="宋体"/>
                <w:color w:val="auto"/>
                <w:sz w:val="21"/>
                <w:szCs w:val="21"/>
                <w:lang w:val="en-US" w:eastAsia="zh-CN"/>
              </w:rPr>
              <w:t>脚踏开关具有手柄切换功能：可通过脚踏开关快速切换当前活动手柄</w:t>
            </w:r>
          </w:p>
        </w:tc>
      </w:tr>
      <w:tr w14:paraId="4CED2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7FF294FA">
            <w:pPr>
              <w:jc w:val="center"/>
              <w:rPr>
                <w:rFonts w:hint="eastAsia" w:asciiTheme="minorEastAsia" w:hAnsiTheme="minorEastAsia" w:eastAsiaTheme="minorEastAsia" w:cstheme="minorEastAsia"/>
                <w:sz w:val="24"/>
                <w:szCs w:val="24"/>
                <w:vertAlign w:val="baseline"/>
                <w:lang w:val="en-US" w:eastAsia="zh-CN"/>
              </w:rPr>
            </w:pPr>
            <w:r>
              <w:rPr>
                <w:rFonts w:hint="eastAsia" w:asciiTheme="minorEastAsia" w:hAnsiTheme="minorEastAsia" w:eastAsiaTheme="minorEastAsia" w:cstheme="minorEastAsia"/>
                <w:sz w:val="24"/>
                <w:szCs w:val="24"/>
                <w:vertAlign w:val="baseline"/>
                <w:lang w:val="en-US" w:eastAsia="zh-CN"/>
              </w:rPr>
              <w:t>11</w:t>
            </w:r>
          </w:p>
        </w:tc>
        <w:tc>
          <w:tcPr>
            <w:tcW w:w="6728" w:type="dxa"/>
            <w:gridSpan w:val="5"/>
            <w:vAlign w:val="center"/>
          </w:tcPr>
          <w:p w14:paraId="6691274B">
            <w:pPr>
              <w:keepNext w:val="0"/>
              <w:keepLines w:val="0"/>
              <w:pageBreakBefore w:val="0"/>
              <w:widowControl w:val="0"/>
              <w:numPr>
                <w:ilvl w:val="0"/>
                <w:numId w:val="0"/>
              </w:numPr>
              <w:kinsoku/>
              <w:wordWrap/>
              <w:overflowPunct/>
              <w:topLinePunct w:val="0"/>
              <w:autoSpaceDE/>
              <w:autoSpaceDN/>
              <w:bidi w:val="0"/>
              <w:adjustRightInd/>
              <w:snapToGrid/>
              <w:spacing w:line="280" w:lineRule="exact"/>
              <w:ind w:left="0" w:leftChars="0" w:firstLine="0" w:firstLineChars="0"/>
              <w:jc w:val="both"/>
              <w:textAlignment w:val="auto"/>
              <w:rPr>
                <w:rFonts w:hint="eastAsia" w:asciiTheme="minorEastAsia" w:hAnsiTheme="minorEastAsia" w:eastAsiaTheme="minorEastAsia" w:cstheme="minorEastAsia"/>
                <w:sz w:val="24"/>
                <w:szCs w:val="24"/>
                <w:vertAlign w:val="baseline"/>
              </w:rPr>
            </w:pPr>
            <w:r>
              <w:rPr>
                <w:rFonts w:hint="default" w:ascii="宋体" w:hAnsi="宋体" w:eastAsia="宋体" w:cs="宋体"/>
                <w:color w:val="auto"/>
                <w:sz w:val="21"/>
                <w:szCs w:val="21"/>
                <w:lang w:val="en-US" w:eastAsia="zh-CN"/>
              </w:rPr>
              <w:t>脚踏开关具有正向模式、往复模式切换功能</w:t>
            </w:r>
            <w:r>
              <w:rPr>
                <w:rFonts w:hint="eastAsia" w:ascii="宋体" w:hAnsi="宋体" w:cs="宋体"/>
                <w:color w:val="auto"/>
                <w:sz w:val="21"/>
                <w:szCs w:val="21"/>
                <w:lang w:val="en-US" w:eastAsia="zh-CN"/>
              </w:rPr>
              <w:t>及</w:t>
            </w:r>
            <w:r>
              <w:rPr>
                <w:rFonts w:hint="default" w:ascii="宋体" w:hAnsi="宋体" w:eastAsia="宋体" w:cs="宋体"/>
                <w:color w:val="auto"/>
                <w:sz w:val="21"/>
                <w:szCs w:val="21"/>
                <w:lang w:val="en-US" w:eastAsia="zh-CN"/>
              </w:rPr>
              <w:t>开关具有启停、无极调速功能</w:t>
            </w:r>
          </w:p>
        </w:tc>
      </w:tr>
      <w:tr w14:paraId="3232C1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17414821">
            <w:pPr>
              <w:jc w:val="center"/>
              <w:rPr>
                <w:rFonts w:hint="eastAsia" w:asciiTheme="minorEastAsia" w:hAnsiTheme="minorEastAsia" w:eastAsiaTheme="minorEastAsia" w:cstheme="minorEastAsia"/>
                <w:sz w:val="24"/>
                <w:szCs w:val="24"/>
                <w:vertAlign w:val="baseline"/>
                <w:lang w:val="en-US" w:eastAsia="zh-CN"/>
              </w:rPr>
            </w:pPr>
            <w:r>
              <w:rPr>
                <w:rFonts w:hint="eastAsia" w:ascii="Times New Roman" w:hAnsi="Times New Roman" w:eastAsia="宋体" w:cs="Times New Roman"/>
                <w:color w:val="auto"/>
                <w:lang w:val="en-US" w:eastAsia="zh-CN"/>
              </w:rPr>
              <w:t>▲</w:t>
            </w:r>
            <w:r>
              <w:rPr>
                <w:rFonts w:hint="eastAsia" w:asciiTheme="minorEastAsia" w:hAnsiTheme="minorEastAsia" w:eastAsiaTheme="minorEastAsia" w:cstheme="minorEastAsia"/>
                <w:sz w:val="24"/>
                <w:szCs w:val="24"/>
                <w:vertAlign w:val="baseline"/>
                <w:lang w:val="en-US" w:eastAsia="zh-CN"/>
              </w:rPr>
              <w:t>12</w:t>
            </w:r>
          </w:p>
        </w:tc>
        <w:tc>
          <w:tcPr>
            <w:tcW w:w="6728" w:type="dxa"/>
            <w:gridSpan w:val="5"/>
            <w:vAlign w:val="center"/>
          </w:tcPr>
          <w:p w14:paraId="3AF55ACB">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Theme="minorEastAsia" w:hAnsiTheme="minorEastAsia" w:eastAsiaTheme="minorEastAsia" w:cstheme="minorEastAsia"/>
                <w:sz w:val="24"/>
                <w:szCs w:val="24"/>
                <w:vertAlign w:val="baseline"/>
              </w:rPr>
            </w:pPr>
            <w:r>
              <w:rPr>
                <w:rFonts w:hint="eastAsia" w:cs="Times New Roman"/>
                <w:color w:val="auto"/>
                <w:lang w:val="en-US" w:eastAsia="zh-CN"/>
              </w:rPr>
              <w:t>高速</w:t>
            </w:r>
            <w:r>
              <w:rPr>
                <w:rFonts w:hint="eastAsia" w:ascii="宋体" w:hAnsi="宋体" w:eastAsia="宋体" w:cs="宋体"/>
                <w:b w:val="0"/>
                <w:bCs w:val="0"/>
                <w:color w:val="auto"/>
                <w:sz w:val="21"/>
                <w:szCs w:val="21"/>
                <w:lang w:val="en-US" w:eastAsia="zh-CN"/>
              </w:rPr>
              <w:t>手柄重量≤70克，尺寸93mm*16mm*16mm</w:t>
            </w:r>
          </w:p>
        </w:tc>
      </w:tr>
      <w:tr w14:paraId="77F78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52DB558D">
            <w:pPr>
              <w:jc w:val="center"/>
              <w:rPr>
                <w:rFonts w:hint="eastAsia" w:asciiTheme="minorEastAsia" w:hAnsiTheme="minorEastAsia" w:eastAsiaTheme="minorEastAsia" w:cstheme="minorEastAsia"/>
                <w:sz w:val="24"/>
                <w:szCs w:val="24"/>
                <w:vertAlign w:val="baseline"/>
                <w:lang w:val="en-US" w:eastAsia="zh-CN"/>
              </w:rPr>
            </w:pPr>
            <w:r>
              <w:rPr>
                <w:rFonts w:hint="eastAsia" w:ascii="Times New Roman" w:hAnsi="Times New Roman" w:eastAsia="宋体" w:cs="Times New Roman"/>
                <w:color w:val="auto"/>
                <w:lang w:val="en-US" w:eastAsia="zh-CN"/>
              </w:rPr>
              <w:t>▲</w:t>
            </w:r>
            <w:r>
              <w:rPr>
                <w:rFonts w:hint="eastAsia" w:asciiTheme="minorEastAsia" w:hAnsiTheme="minorEastAsia" w:eastAsiaTheme="minorEastAsia" w:cstheme="minorEastAsia"/>
                <w:sz w:val="24"/>
                <w:szCs w:val="24"/>
                <w:vertAlign w:val="baseline"/>
                <w:lang w:val="en-US" w:eastAsia="zh-CN"/>
              </w:rPr>
              <w:t>13</w:t>
            </w:r>
          </w:p>
        </w:tc>
        <w:tc>
          <w:tcPr>
            <w:tcW w:w="6728" w:type="dxa"/>
            <w:gridSpan w:val="5"/>
            <w:vAlign w:val="center"/>
          </w:tcPr>
          <w:p w14:paraId="13BDC706">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textAlignment w:val="auto"/>
              <w:rPr>
                <w:rFonts w:hint="eastAsia" w:asciiTheme="minorEastAsia" w:hAnsiTheme="minorEastAsia" w:eastAsiaTheme="minorEastAsia" w:cstheme="minorEastAsia"/>
                <w:sz w:val="24"/>
                <w:szCs w:val="24"/>
                <w:vertAlign w:val="baseline"/>
              </w:rPr>
            </w:pPr>
            <w:r>
              <w:rPr>
                <w:rFonts w:hint="default" w:ascii="宋体" w:hAnsi="宋体" w:eastAsia="宋体" w:cs="宋体"/>
                <w:b w:val="0"/>
                <w:bCs w:val="0"/>
                <w:color w:val="auto"/>
                <w:sz w:val="21"/>
                <w:szCs w:val="21"/>
                <w:lang w:val="en-US" w:eastAsia="zh-CN"/>
              </w:rPr>
              <w:t>为保证大扭矩，低噪音，运行稳定，振动小，经久耐用，须采用原装进口无刷电机</w:t>
            </w:r>
          </w:p>
        </w:tc>
      </w:tr>
      <w:tr w14:paraId="2D529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57227991">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14</w:t>
            </w:r>
          </w:p>
        </w:tc>
        <w:tc>
          <w:tcPr>
            <w:tcW w:w="6728" w:type="dxa"/>
            <w:gridSpan w:val="5"/>
            <w:vAlign w:val="center"/>
          </w:tcPr>
          <w:p w14:paraId="21B93343">
            <w:pPr>
              <w:widowControl/>
              <w:spacing w:before="100" w:beforeAutospacing="1" w:after="100" w:afterAutospacing="1"/>
              <w:jc w:val="both"/>
              <w:rPr>
                <w:rFonts w:hint="eastAsia" w:asciiTheme="minorEastAsia" w:hAnsiTheme="minorEastAsia" w:eastAsiaTheme="minorEastAsia" w:cstheme="minorEastAsia"/>
                <w:sz w:val="24"/>
                <w:szCs w:val="24"/>
              </w:rPr>
            </w:pPr>
            <w:r>
              <w:rPr>
                <w:rFonts w:hint="default" w:ascii="宋体" w:hAnsi="宋体" w:eastAsia="宋体" w:cs="宋体"/>
                <w:b w:val="0"/>
                <w:bCs w:val="0"/>
                <w:color w:val="auto"/>
                <w:sz w:val="21"/>
                <w:szCs w:val="21"/>
                <w:lang w:val="en-US" w:eastAsia="zh-CN"/>
              </w:rPr>
              <w:t>正反转模式自由切换，转速可调，转速不得高于40000 r/min</w:t>
            </w:r>
            <w:r>
              <w:rPr>
                <w:rFonts w:hint="eastAsia" w:ascii="宋体" w:hAnsi="宋体" w:eastAsia="宋体" w:cs="宋体"/>
                <w:b w:val="0"/>
                <w:bCs w:val="0"/>
                <w:color w:val="auto"/>
                <w:sz w:val="21"/>
                <w:szCs w:val="21"/>
                <w:lang w:val="en-US" w:eastAsia="zh-CN"/>
              </w:rPr>
              <w:t>（保障手术安全）</w:t>
            </w:r>
          </w:p>
        </w:tc>
      </w:tr>
      <w:tr w14:paraId="7B03E9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0BFEC7FE">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15</w:t>
            </w:r>
          </w:p>
        </w:tc>
        <w:tc>
          <w:tcPr>
            <w:tcW w:w="6728" w:type="dxa"/>
            <w:gridSpan w:val="5"/>
            <w:vAlign w:val="center"/>
          </w:tcPr>
          <w:p w14:paraId="2D00A4FC">
            <w:pPr>
              <w:widowControl/>
              <w:spacing w:before="100" w:beforeAutospacing="1" w:after="100" w:afterAutospacing="1"/>
              <w:jc w:val="both"/>
              <w:rPr>
                <w:rFonts w:hint="eastAsia" w:asciiTheme="minorEastAsia" w:hAnsiTheme="minorEastAsia" w:eastAsiaTheme="minorEastAsia" w:cstheme="minorEastAsia"/>
                <w:sz w:val="24"/>
                <w:szCs w:val="24"/>
              </w:rPr>
            </w:pPr>
            <w:r>
              <w:rPr>
                <w:rFonts w:hint="eastAsia" w:ascii="宋体" w:hAnsi="宋体" w:eastAsia="宋体" w:cs="宋体"/>
                <w:b w:val="0"/>
                <w:bCs w:val="0"/>
                <w:color w:val="auto"/>
                <w:sz w:val="21"/>
                <w:szCs w:val="21"/>
                <w:lang w:val="en-US" w:eastAsia="zh-CN"/>
              </w:rPr>
              <w:t>手柄具有过负载保护功能。</w:t>
            </w:r>
          </w:p>
        </w:tc>
      </w:tr>
      <w:tr w14:paraId="7385F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7E97FC66">
            <w:pPr>
              <w:jc w:val="center"/>
              <w:rPr>
                <w:rFonts w:hint="default" w:asciiTheme="minorEastAsia" w:hAnsiTheme="minorEastAsia" w:eastAsiaTheme="minorEastAsia" w:cstheme="minorEastAsia"/>
                <w:sz w:val="24"/>
                <w:szCs w:val="24"/>
                <w:vertAlign w:val="baseline"/>
                <w:lang w:val="en-US" w:eastAsia="zh-CN"/>
              </w:rPr>
            </w:pPr>
            <w:r>
              <w:rPr>
                <w:rFonts w:hint="eastAsia" w:ascii="Times New Roman" w:hAnsi="Times New Roman" w:eastAsia="宋体" w:cs="Times New Roman"/>
                <w:color w:val="auto"/>
                <w:lang w:val="en-US" w:eastAsia="zh-CN"/>
              </w:rPr>
              <w:t>▲</w:t>
            </w:r>
            <w:r>
              <w:rPr>
                <w:rFonts w:hint="eastAsia" w:asciiTheme="minorEastAsia" w:hAnsiTheme="minorEastAsia" w:cstheme="minorEastAsia"/>
                <w:sz w:val="24"/>
                <w:szCs w:val="24"/>
                <w:vertAlign w:val="baseline"/>
                <w:lang w:val="en-US" w:eastAsia="zh-CN"/>
              </w:rPr>
              <w:t>16</w:t>
            </w:r>
          </w:p>
        </w:tc>
        <w:tc>
          <w:tcPr>
            <w:tcW w:w="6728" w:type="dxa"/>
            <w:gridSpan w:val="5"/>
            <w:vAlign w:val="center"/>
          </w:tcPr>
          <w:p w14:paraId="716FB336">
            <w:pPr>
              <w:widowControl/>
              <w:spacing w:before="100" w:beforeAutospacing="1" w:after="100" w:afterAutospacing="1"/>
              <w:jc w:val="both"/>
              <w:rPr>
                <w:rFonts w:hint="eastAsia" w:asciiTheme="minorEastAsia" w:hAnsiTheme="minorEastAsia" w:eastAsiaTheme="minorEastAsia" w:cstheme="minorEastAsia"/>
                <w:sz w:val="24"/>
                <w:szCs w:val="24"/>
              </w:rPr>
            </w:pPr>
            <w:r>
              <w:rPr>
                <w:rFonts w:hint="eastAsia" w:ascii="宋体" w:hAnsi="宋体" w:eastAsia="宋体" w:cs="宋体"/>
                <w:b w:val="0"/>
                <w:bCs w:val="0"/>
                <w:color w:val="auto"/>
                <w:sz w:val="21"/>
                <w:szCs w:val="21"/>
                <w:lang w:val="en-US" w:eastAsia="zh-CN"/>
              </w:rPr>
              <w:t>循环式水冷式设计，马达内置冷却输水管路，可贯穿马达手柄、夹头、刀头，实现整体冷却，避免镜头污染，在最高转速下连续工作可有效降低手柄温度。</w:t>
            </w:r>
          </w:p>
        </w:tc>
      </w:tr>
      <w:tr w14:paraId="304684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75063516">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17</w:t>
            </w:r>
          </w:p>
        </w:tc>
        <w:tc>
          <w:tcPr>
            <w:tcW w:w="6728" w:type="dxa"/>
            <w:gridSpan w:val="5"/>
            <w:vAlign w:val="center"/>
          </w:tcPr>
          <w:p w14:paraId="697396EF">
            <w:pPr>
              <w:widowControl/>
              <w:spacing w:before="100" w:beforeAutospacing="1" w:after="100" w:afterAutospacing="1"/>
              <w:jc w:val="both"/>
              <w:rPr>
                <w:rFonts w:hint="eastAsia" w:asciiTheme="minorEastAsia" w:hAnsiTheme="minorEastAsia" w:eastAsiaTheme="minorEastAsia" w:cstheme="minorEastAsia"/>
                <w:sz w:val="24"/>
                <w:szCs w:val="24"/>
              </w:rPr>
            </w:pPr>
            <w:r>
              <w:rPr>
                <w:rFonts w:hint="eastAsia" w:ascii="宋体" w:hAnsi="宋体" w:eastAsia="宋体" w:cs="宋体"/>
                <w:b w:val="0"/>
                <w:bCs w:val="0"/>
                <w:color w:val="auto"/>
                <w:sz w:val="21"/>
                <w:szCs w:val="21"/>
                <w:lang w:val="en-US" w:eastAsia="zh-CN"/>
              </w:rPr>
              <w:t>急停时间，≤0.2s</w:t>
            </w:r>
          </w:p>
        </w:tc>
      </w:tr>
      <w:tr w14:paraId="6AE9B3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1BBDBAA4">
            <w:pPr>
              <w:jc w:val="center"/>
              <w:rPr>
                <w:rFonts w:hint="eastAsia" w:asciiTheme="minorEastAsia" w:hAnsiTheme="minorEastAsia" w:eastAsiaTheme="minorEastAsia" w:cstheme="minorEastAsia"/>
                <w:sz w:val="24"/>
                <w:szCs w:val="24"/>
                <w:vertAlign w:val="baseline"/>
                <w:lang w:val="en-US" w:eastAsia="zh-CN"/>
              </w:rPr>
            </w:pPr>
          </w:p>
        </w:tc>
        <w:tc>
          <w:tcPr>
            <w:tcW w:w="6728" w:type="dxa"/>
            <w:gridSpan w:val="5"/>
            <w:vAlign w:val="center"/>
          </w:tcPr>
          <w:p w14:paraId="4CB46A40">
            <w:pPr>
              <w:widowControl/>
              <w:spacing w:before="100" w:beforeAutospacing="1" w:after="100" w:afterAutospacing="1"/>
              <w:jc w:val="both"/>
              <w:rPr>
                <w:rFonts w:hint="eastAsia" w:asciiTheme="minorEastAsia" w:hAnsiTheme="minorEastAsia" w:eastAsiaTheme="minorEastAsia" w:cstheme="minorEastAsia"/>
                <w:sz w:val="24"/>
                <w:szCs w:val="24"/>
              </w:rPr>
            </w:pPr>
            <w:r>
              <w:rPr>
                <w:rFonts w:hint="eastAsia" w:cs="Times New Roman"/>
                <w:color w:val="auto"/>
                <w:lang w:val="en-US" w:eastAsia="zh-CN"/>
              </w:rPr>
              <w:t>设备主机二：</w:t>
            </w:r>
          </w:p>
        </w:tc>
      </w:tr>
      <w:tr w14:paraId="4B029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22A5F8C8">
            <w:pPr>
              <w:jc w:val="center"/>
              <w:rPr>
                <w:rFonts w:hint="default" w:asciiTheme="minorEastAsia" w:hAnsiTheme="minorEastAsia" w:eastAsiaTheme="minorEastAsia" w:cstheme="minorEastAsia"/>
                <w:sz w:val="24"/>
                <w:szCs w:val="24"/>
                <w:vertAlign w:val="baseline"/>
                <w:lang w:val="en-US" w:eastAsia="zh-CN"/>
              </w:rPr>
            </w:pPr>
            <w:r>
              <w:rPr>
                <w:rFonts w:hint="eastAsia" w:ascii="Times New Roman" w:hAnsi="Times New Roman" w:eastAsia="宋体" w:cs="Times New Roman"/>
                <w:color w:val="auto"/>
                <w:lang w:val="en-US" w:eastAsia="zh-CN"/>
              </w:rPr>
              <w:t>▲</w:t>
            </w:r>
            <w:r>
              <w:rPr>
                <w:rFonts w:hint="eastAsia" w:asciiTheme="minorEastAsia" w:hAnsiTheme="minorEastAsia" w:cstheme="minorEastAsia"/>
                <w:sz w:val="24"/>
                <w:szCs w:val="24"/>
                <w:vertAlign w:val="baseline"/>
                <w:lang w:val="en-US" w:eastAsia="zh-CN"/>
              </w:rPr>
              <w:t>18</w:t>
            </w:r>
          </w:p>
        </w:tc>
        <w:tc>
          <w:tcPr>
            <w:tcW w:w="6728" w:type="dxa"/>
            <w:gridSpan w:val="5"/>
            <w:vAlign w:val="center"/>
          </w:tcPr>
          <w:p w14:paraId="34E71A76">
            <w:pPr>
              <w:widowControl/>
              <w:spacing w:before="100" w:beforeAutospacing="1" w:after="100" w:afterAutospacing="1"/>
              <w:jc w:val="both"/>
              <w:rPr>
                <w:rFonts w:hint="eastAsia" w:asciiTheme="minorEastAsia" w:hAnsiTheme="minorEastAsia" w:eastAsiaTheme="minorEastAsia" w:cstheme="minorEastAsia"/>
                <w:sz w:val="24"/>
                <w:szCs w:val="24"/>
              </w:rPr>
            </w:pPr>
            <w:r>
              <w:rPr>
                <w:rFonts w:hint="eastAsia" w:ascii="Times New Roman" w:hAnsi="Times New Roman" w:eastAsia="宋体" w:cs="Times New Roman"/>
                <w:color w:val="auto"/>
                <w:lang w:val="en-US" w:eastAsia="zh-CN"/>
              </w:rPr>
              <w:t>▲</w:t>
            </w:r>
            <w:r>
              <w:rPr>
                <w:rFonts w:hint="eastAsia" w:ascii="宋体" w:hAnsi="宋体"/>
                <w:sz w:val="21"/>
                <w:szCs w:val="21"/>
              </w:rPr>
              <w:t>具有内镜下消融切割和止血功能，通过了国家医疗器械检测部门对电极在内镜下使用的相关国家标准要求（GB9706.19）的检测（保障手术安全性）</w:t>
            </w:r>
          </w:p>
        </w:tc>
      </w:tr>
      <w:tr w14:paraId="77E7B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6588BFF2">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19</w:t>
            </w:r>
          </w:p>
        </w:tc>
        <w:tc>
          <w:tcPr>
            <w:tcW w:w="6728" w:type="dxa"/>
            <w:gridSpan w:val="5"/>
            <w:vAlign w:val="center"/>
          </w:tcPr>
          <w:p w14:paraId="2DA45E91">
            <w:pPr>
              <w:widowControl/>
              <w:spacing w:before="100" w:beforeAutospacing="1" w:after="100" w:afterAutospacing="1"/>
              <w:jc w:val="both"/>
              <w:rPr>
                <w:rFonts w:hint="eastAsia" w:asciiTheme="minorEastAsia" w:hAnsiTheme="minorEastAsia" w:eastAsiaTheme="minorEastAsia" w:cstheme="minorEastAsia"/>
                <w:sz w:val="24"/>
                <w:szCs w:val="24"/>
              </w:rPr>
            </w:pPr>
            <w:r>
              <w:rPr>
                <w:rFonts w:hint="eastAsia" w:ascii="宋体" w:hAnsi="宋体"/>
                <w:sz w:val="21"/>
                <w:szCs w:val="21"/>
              </w:rPr>
              <w:t>工作频率100KHz.</w:t>
            </w:r>
            <w:r>
              <w:rPr>
                <w:rFonts w:ascii="宋体" w:hAnsi="宋体"/>
                <w:sz w:val="21"/>
                <w:szCs w:val="21"/>
              </w:rPr>
              <w:t xml:space="preserve"> </w:t>
            </w:r>
          </w:p>
        </w:tc>
      </w:tr>
      <w:tr w14:paraId="41F047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6E865A2F">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20</w:t>
            </w:r>
          </w:p>
        </w:tc>
        <w:tc>
          <w:tcPr>
            <w:tcW w:w="6728" w:type="dxa"/>
            <w:gridSpan w:val="5"/>
            <w:vAlign w:val="center"/>
          </w:tcPr>
          <w:p w14:paraId="27D202D1">
            <w:pPr>
              <w:numPr>
                <w:ilvl w:val="0"/>
                <w:numId w:val="0"/>
              </w:numPr>
              <w:spacing w:line="240" w:lineRule="auto"/>
              <w:ind w:left="0" w:leftChars="0" w:firstLine="0" w:firstLineChars="0"/>
              <w:jc w:val="both"/>
              <w:rPr>
                <w:rFonts w:hint="eastAsia" w:asciiTheme="minorEastAsia" w:hAnsiTheme="minorEastAsia" w:eastAsiaTheme="minorEastAsia" w:cstheme="minorEastAsia"/>
                <w:sz w:val="24"/>
                <w:szCs w:val="24"/>
              </w:rPr>
            </w:pPr>
            <w:r>
              <w:rPr>
                <w:rFonts w:hint="eastAsia" w:ascii="宋体" w:hAnsi="宋体"/>
                <w:sz w:val="21"/>
                <w:szCs w:val="21"/>
              </w:rPr>
              <w:t>自动检测附件及刀头功能：能在连接好脚踏和手柄后主机根据不同刀头自动设置默认功率大小。</w:t>
            </w:r>
          </w:p>
        </w:tc>
      </w:tr>
      <w:tr w14:paraId="1E106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1512E58B">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21</w:t>
            </w:r>
          </w:p>
        </w:tc>
        <w:tc>
          <w:tcPr>
            <w:tcW w:w="6728" w:type="dxa"/>
            <w:gridSpan w:val="5"/>
            <w:vAlign w:val="center"/>
          </w:tcPr>
          <w:p w14:paraId="104F4798">
            <w:pPr>
              <w:widowControl/>
              <w:spacing w:before="100" w:beforeAutospacing="1" w:after="100" w:afterAutospacing="1"/>
              <w:jc w:val="both"/>
              <w:rPr>
                <w:rFonts w:hint="eastAsia" w:asciiTheme="minorEastAsia" w:hAnsiTheme="minorEastAsia" w:eastAsiaTheme="minorEastAsia" w:cstheme="minorEastAsia"/>
                <w:sz w:val="24"/>
                <w:szCs w:val="24"/>
              </w:rPr>
            </w:pPr>
            <w:r>
              <w:rPr>
                <w:rFonts w:hint="eastAsia" w:ascii="宋体" w:hAnsi="宋体"/>
                <w:sz w:val="21"/>
                <w:szCs w:val="21"/>
              </w:rPr>
              <w:t>适用于开展经耳道内镜水下等离子微创术中耳炎手术、听骨链重建、胆脂瘤、鼓室成型、外耳道肿物切除、耳部肿瘤减压术等</w:t>
            </w:r>
          </w:p>
        </w:tc>
      </w:tr>
      <w:tr w14:paraId="3A0E9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5CE564DA">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22</w:t>
            </w:r>
          </w:p>
        </w:tc>
        <w:tc>
          <w:tcPr>
            <w:tcW w:w="6728" w:type="dxa"/>
            <w:gridSpan w:val="5"/>
            <w:vAlign w:val="center"/>
          </w:tcPr>
          <w:p w14:paraId="47CE8086">
            <w:pPr>
              <w:widowControl/>
              <w:spacing w:before="100" w:beforeAutospacing="1" w:after="100" w:afterAutospacing="1"/>
              <w:jc w:val="both"/>
              <w:rPr>
                <w:rFonts w:hint="eastAsia" w:asciiTheme="minorEastAsia" w:hAnsiTheme="minorEastAsia" w:eastAsiaTheme="minorEastAsia" w:cstheme="minorEastAsia"/>
                <w:sz w:val="24"/>
                <w:szCs w:val="24"/>
              </w:rPr>
            </w:pPr>
            <w:r>
              <w:rPr>
                <w:rFonts w:hint="eastAsia" w:hAnsi="宋体"/>
                <w:sz w:val="21"/>
                <w:szCs w:val="21"/>
              </w:rPr>
              <w:t>具有</w:t>
            </w:r>
            <w:r>
              <w:rPr>
                <w:rFonts w:hint="eastAsia" w:ascii="Helvetica Neue" w:hAnsi="Helvetica Neue" w:cs="Helvetica Neue"/>
                <w:sz w:val="21"/>
                <w:szCs w:val="21"/>
              </w:rPr>
              <w:t>经耳道内镜水下操作灌流术式等离子功能，</w:t>
            </w:r>
            <w:r>
              <w:rPr>
                <w:rFonts w:hint="eastAsia"/>
                <w:sz w:val="21"/>
                <w:szCs w:val="21"/>
              </w:rPr>
              <w:t>配备45度勾刀、0度皮瓣刀、45度皮瓣刀、勾状剥离器组合开展经耳道内镜水下等离子微创术。</w:t>
            </w:r>
          </w:p>
        </w:tc>
      </w:tr>
      <w:tr w14:paraId="30CF26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140FD873">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23</w:t>
            </w:r>
          </w:p>
        </w:tc>
        <w:tc>
          <w:tcPr>
            <w:tcW w:w="6728" w:type="dxa"/>
            <w:gridSpan w:val="5"/>
            <w:vAlign w:val="center"/>
          </w:tcPr>
          <w:p w14:paraId="335BEF2B">
            <w:pPr>
              <w:spacing w:line="240" w:lineRule="auto"/>
              <w:jc w:val="both"/>
              <w:rPr>
                <w:rFonts w:hint="eastAsia" w:asciiTheme="minorEastAsia" w:hAnsiTheme="minorEastAsia" w:eastAsiaTheme="minorEastAsia" w:cstheme="minorEastAsia"/>
                <w:sz w:val="24"/>
                <w:szCs w:val="24"/>
              </w:rPr>
            </w:pPr>
            <w:r>
              <w:rPr>
                <w:rFonts w:hint="eastAsia" w:ascii="宋体" w:hAnsi="宋体"/>
                <w:color w:val="36363D"/>
                <w:sz w:val="21"/>
                <w:szCs w:val="21"/>
              </w:rPr>
              <w:t>适配耳内竟手件插入部分外径：≤Ø4mm  工作长度：108mm   手件总长：150mm； 镜体外径：Ø3mm  视向角：0度</w:t>
            </w:r>
          </w:p>
        </w:tc>
      </w:tr>
      <w:tr w14:paraId="397C7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3B8C2537">
            <w:pPr>
              <w:jc w:val="center"/>
              <w:rPr>
                <w:rFonts w:hint="default" w:asciiTheme="minorEastAsia" w:hAnsiTheme="minorEastAsia" w:eastAsiaTheme="minorEastAsia" w:cstheme="minorEastAsia"/>
                <w:sz w:val="24"/>
                <w:szCs w:val="24"/>
                <w:vertAlign w:val="baseline"/>
                <w:lang w:val="en-US" w:eastAsia="zh-CN"/>
              </w:rPr>
            </w:pPr>
            <w:r>
              <w:rPr>
                <w:rFonts w:hint="eastAsia" w:ascii="Times New Roman" w:hAnsi="Times New Roman" w:eastAsia="宋体" w:cs="Times New Roman"/>
                <w:color w:val="auto"/>
                <w:lang w:val="en-US" w:eastAsia="zh-CN"/>
              </w:rPr>
              <w:t>▲</w:t>
            </w:r>
            <w:r>
              <w:rPr>
                <w:rFonts w:hint="eastAsia" w:asciiTheme="minorEastAsia" w:hAnsiTheme="minorEastAsia" w:cstheme="minorEastAsia"/>
                <w:sz w:val="24"/>
                <w:szCs w:val="24"/>
                <w:vertAlign w:val="baseline"/>
                <w:lang w:val="en-US" w:eastAsia="zh-CN"/>
              </w:rPr>
              <w:t>24</w:t>
            </w:r>
          </w:p>
        </w:tc>
        <w:tc>
          <w:tcPr>
            <w:tcW w:w="6728" w:type="dxa"/>
            <w:gridSpan w:val="5"/>
            <w:vAlign w:val="center"/>
          </w:tcPr>
          <w:p w14:paraId="6D1A72E8">
            <w:pPr>
              <w:widowControl/>
              <w:spacing w:before="100" w:beforeAutospacing="1" w:after="100" w:afterAutospacing="1"/>
              <w:jc w:val="both"/>
              <w:rPr>
                <w:rFonts w:hint="eastAsia" w:asciiTheme="minorEastAsia" w:hAnsiTheme="minorEastAsia" w:eastAsiaTheme="minorEastAsia" w:cstheme="minorEastAsia"/>
                <w:sz w:val="24"/>
                <w:szCs w:val="24"/>
              </w:rPr>
            </w:pPr>
            <w:r>
              <w:rPr>
                <w:rFonts w:hint="eastAsia" w:ascii="Times New Roman" w:hAnsi="Times New Roman" w:eastAsia="宋体" w:cs="Times New Roman"/>
                <w:color w:val="auto"/>
                <w:sz w:val="21"/>
                <w:szCs w:val="21"/>
                <w:lang w:val="en-US" w:eastAsia="zh-CN"/>
              </w:rPr>
              <w:t>适配开展经耳道内镜水下操作灌流微创术的灌注泵、镜鞘、等离子射频手术系统</w:t>
            </w:r>
            <w:r>
              <w:rPr>
                <w:rFonts w:hint="eastAsia" w:cs="Times New Roman"/>
                <w:color w:val="auto"/>
                <w:sz w:val="21"/>
                <w:szCs w:val="21"/>
                <w:lang w:val="en-US" w:eastAsia="zh-CN"/>
              </w:rPr>
              <w:t>为</w:t>
            </w:r>
            <w:r>
              <w:rPr>
                <w:rFonts w:hint="eastAsia" w:ascii="Times New Roman" w:hAnsi="Times New Roman" w:eastAsia="宋体" w:cs="Times New Roman"/>
                <w:color w:val="auto"/>
                <w:sz w:val="21"/>
                <w:szCs w:val="21"/>
                <w:lang w:val="en-US" w:eastAsia="zh-CN"/>
              </w:rPr>
              <w:t>同一品牌同一个厂家注册</w:t>
            </w:r>
            <w:r>
              <w:rPr>
                <w:rFonts w:hint="eastAsia" w:cs="Times New Roman"/>
                <w:color w:val="auto"/>
                <w:sz w:val="21"/>
                <w:szCs w:val="21"/>
                <w:lang w:val="en-US" w:eastAsia="zh-CN"/>
              </w:rPr>
              <w:t>，</w:t>
            </w:r>
            <w:r>
              <w:rPr>
                <w:rFonts w:hint="eastAsia" w:ascii="宋体" w:hAnsi="宋体"/>
                <w:sz w:val="21"/>
                <w:szCs w:val="21"/>
              </w:rPr>
              <w:t>灌注泵流量调节0-280ml/min，通过安全压力值将液体关灌注入耳内，同时流量温和不损坏耳道结构</w:t>
            </w:r>
            <w:r>
              <w:rPr>
                <w:rFonts w:hint="eastAsia" w:ascii="宋体" w:hAnsi="宋体"/>
                <w:sz w:val="21"/>
                <w:szCs w:val="21"/>
                <w:lang w:eastAsia="zh-CN"/>
              </w:rPr>
              <w:t>，</w:t>
            </w:r>
            <w:r>
              <w:rPr>
                <w:rFonts w:hint="eastAsia" w:ascii="Times New Roman" w:hAnsi="Times New Roman" w:eastAsia="宋体" w:cs="Times New Roman"/>
                <w:color w:val="auto"/>
                <w:sz w:val="21"/>
                <w:szCs w:val="21"/>
                <w:lang w:val="en-US" w:eastAsia="zh-CN"/>
              </w:rPr>
              <w:t>确保兼容性保障手术安全</w:t>
            </w:r>
          </w:p>
        </w:tc>
      </w:tr>
      <w:tr w14:paraId="69D170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04250FC3">
            <w:pPr>
              <w:jc w:val="center"/>
              <w:rPr>
                <w:rFonts w:hint="default" w:asciiTheme="minorEastAsia" w:hAnsiTheme="minorEastAsia" w:eastAsia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25</w:t>
            </w:r>
          </w:p>
        </w:tc>
        <w:tc>
          <w:tcPr>
            <w:tcW w:w="6728" w:type="dxa"/>
            <w:gridSpan w:val="5"/>
            <w:vAlign w:val="center"/>
          </w:tcPr>
          <w:p w14:paraId="52277329">
            <w:pPr>
              <w:widowControl/>
              <w:spacing w:before="100" w:beforeAutospacing="1" w:after="100" w:afterAutospacing="1"/>
              <w:jc w:val="both"/>
              <w:rPr>
                <w:rFonts w:hint="eastAsia" w:asciiTheme="minorEastAsia" w:hAnsiTheme="minorEastAsia" w:eastAsiaTheme="minorEastAsia" w:cstheme="minorEastAsia"/>
                <w:sz w:val="24"/>
                <w:szCs w:val="24"/>
              </w:rPr>
            </w:pPr>
            <w:r>
              <w:rPr>
                <w:rFonts w:hint="eastAsia" w:ascii="Times New Roman" w:hAnsi="Times New Roman" w:eastAsia="宋体" w:cs="Times New Roman"/>
                <w:color w:val="auto"/>
                <w:lang w:val="en-US" w:eastAsia="zh-CN"/>
              </w:rPr>
              <w:t>具有独立的医疗器械注册证的一次性射频消融电极针能收费能医保报销</w:t>
            </w:r>
          </w:p>
        </w:tc>
      </w:tr>
      <w:tr w14:paraId="632C9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52471EB6">
            <w:pPr>
              <w:jc w:val="center"/>
              <w:rPr>
                <w:rFonts w:hint="default" w:asciiTheme="minorEastAsia" w:hAnsiTheme="minorEastAsia" w:cstheme="minorEastAsia"/>
                <w:sz w:val="24"/>
                <w:szCs w:val="24"/>
                <w:vertAlign w:val="baseline"/>
                <w:lang w:val="en-US" w:eastAsia="zh-CN"/>
              </w:rPr>
            </w:pPr>
            <w:r>
              <w:rPr>
                <w:rFonts w:hint="eastAsia" w:asciiTheme="minorEastAsia" w:hAnsiTheme="minorEastAsia" w:cstheme="minorEastAsia"/>
                <w:sz w:val="24"/>
                <w:szCs w:val="24"/>
                <w:vertAlign w:val="baseline"/>
                <w:lang w:val="en-US" w:eastAsia="zh-CN"/>
              </w:rPr>
              <w:t>26</w:t>
            </w:r>
          </w:p>
        </w:tc>
        <w:tc>
          <w:tcPr>
            <w:tcW w:w="6728" w:type="dxa"/>
            <w:gridSpan w:val="5"/>
            <w:vAlign w:val="center"/>
          </w:tcPr>
          <w:p w14:paraId="5D8A3C89">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配置清单：</w:t>
            </w:r>
          </w:p>
          <w:p w14:paraId="0AA870F4">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1、手术动力系统           1台</w:t>
            </w:r>
          </w:p>
          <w:p w14:paraId="23793010">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2、等离子射频手术系统     1台</w:t>
            </w:r>
          </w:p>
          <w:p w14:paraId="27E0F40E">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3、高速手柄（耳内镜专用） 1个</w:t>
            </w:r>
          </w:p>
          <w:p w14:paraId="153DB256">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4、耳内镜钻磨钻头1毫米   1支</w:t>
            </w:r>
          </w:p>
          <w:p w14:paraId="04EA0756">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5、耳内镜钻磨钻头2毫米   1支</w:t>
            </w:r>
          </w:p>
          <w:p w14:paraId="356FAD14">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6、耳内镜钻磨钻头3毫米   1支</w:t>
            </w:r>
          </w:p>
          <w:p w14:paraId="3E1BEF42">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7、脚踏开关（等离子射频手术系统专用）   1个</w:t>
            </w:r>
          </w:p>
          <w:p w14:paraId="6484A8ED">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 xml:space="preserve">8、脚踏开关（手术动力系统专用）         </w:t>
            </w:r>
            <w:bookmarkStart w:id="0" w:name="_GoBack"/>
            <w:bookmarkEnd w:id="0"/>
            <w:r>
              <w:rPr>
                <w:rFonts w:hint="eastAsia" w:ascii="Times New Roman" w:hAnsi="Times New Roman" w:eastAsia="宋体" w:cs="Times New Roman"/>
                <w:color w:val="auto"/>
                <w:lang w:val="en-US" w:eastAsia="zh-CN"/>
              </w:rPr>
              <w:t>1个</w:t>
            </w:r>
          </w:p>
          <w:p w14:paraId="003C9BD2">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9、流量控制器                1台</w:t>
            </w:r>
          </w:p>
          <w:p w14:paraId="46FCBCDC">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10、灌注泵                   1台</w:t>
            </w:r>
          </w:p>
          <w:p w14:paraId="7D30D261">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11、耳鼻内窥镜单向阀         3根</w:t>
            </w:r>
          </w:p>
          <w:p w14:paraId="5A8C5D67">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12、45度皮瓣刀一次性射频消融电极针（耳科专用）  1支</w:t>
            </w:r>
          </w:p>
          <w:p w14:paraId="108297FC">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13、流量控制器连接线         1根</w:t>
            </w:r>
          </w:p>
          <w:p w14:paraId="352D9FF4">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eastAsia"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14、灌注泵连接线             1根</w:t>
            </w:r>
          </w:p>
          <w:p w14:paraId="171B8432">
            <w:pPr>
              <w:keepNext w:val="0"/>
              <w:keepLines w:val="0"/>
              <w:pageBreakBefore w:val="0"/>
              <w:widowControl/>
              <w:kinsoku/>
              <w:wordWrap/>
              <w:overflowPunct/>
              <w:topLinePunct w:val="0"/>
              <w:autoSpaceDE/>
              <w:autoSpaceDN/>
              <w:bidi w:val="0"/>
              <w:adjustRightInd/>
              <w:snapToGrid/>
              <w:spacing w:beforeAutospacing="0" w:afterAutospacing="0"/>
              <w:jc w:val="both"/>
              <w:textAlignment w:val="auto"/>
              <w:rPr>
                <w:rFonts w:hint="default" w:ascii="Times New Roman" w:hAnsi="Times New Roman" w:eastAsia="宋体" w:cs="Times New Roman"/>
                <w:color w:val="auto"/>
                <w:lang w:val="en-US" w:eastAsia="zh-CN"/>
              </w:rPr>
            </w:pPr>
            <w:r>
              <w:rPr>
                <w:rFonts w:hint="eastAsia" w:ascii="Times New Roman" w:hAnsi="Times New Roman" w:eastAsia="宋体" w:cs="Times New Roman"/>
                <w:color w:val="auto"/>
                <w:lang w:val="en-US" w:eastAsia="zh-CN"/>
              </w:rPr>
              <w:t>15、电源线                   1根</w:t>
            </w:r>
          </w:p>
        </w:tc>
      </w:tr>
      <w:tr w14:paraId="3609C3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2" w:type="dxa"/>
            <w:gridSpan w:val="6"/>
          </w:tcPr>
          <w:p w14:paraId="5155B05E">
            <w:pPr>
              <w:jc w:val="center"/>
              <w:rPr>
                <w:vertAlign w:val="baseline"/>
              </w:rPr>
            </w:pPr>
            <w:r>
              <w:rPr>
                <w:rFonts w:hint="eastAsia"/>
                <w:b/>
                <w:bCs/>
                <w:sz w:val="28"/>
                <w:szCs w:val="36"/>
                <w:vertAlign w:val="baseline"/>
                <w:lang w:val="en-US" w:eastAsia="zh-CN"/>
              </w:rPr>
              <w:t>商务需求</w:t>
            </w:r>
          </w:p>
        </w:tc>
      </w:tr>
      <w:tr w14:paraId="6F2BB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0277B689">
            <w:pPr>
              <w:widowControl/>
              <w:spacing w:before="100" w:beforeAutospacing="1" w:after="100" w:afterAutospacing="1"/>
              <w:jc w:val="left"/>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6728" w:type="dxa"/>
            <w:gridSpan w:val="5"/>
          </w:tcPr>
          <w:p w14:paraId="28613AD9">
            <w:pPr>
              <w:widowControl/>
              <w:spacing w:before="100" w:beforeAutospacing="1" w:after="100" w:afterAutospacing="1"/>
              <w:jc w:val="lef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lang w:eastAsia="zh-CN"/>
              </w:rPr>
              <w:t>整机保修</w:t>
            </w:r>
            <w:r>
              <w:rPr>
                <w:rFonts w:hint="eastAsia" w:asciiTheme="minorEastAsia" w:hAnsiTheme="minorEastAsia" w:eastAsiaTheme="minorEastAsia" w:cstheme="minorEastAsia"/>
                <w:sz w:val="24"/>
                <w:szCs w:val="24"/>
                <w:lang w:val="en-US" w:eastAsia="zh-CN"/>
              </w:rPr>
              <w:t>5年</w:t>
            </w:r>
          </w:p>
        </w:tc>
      </w:tr>
      <w:tr w14:paraId="56ADDD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7412" w:type="dxa"/>
            <w:gridSpan w:val="6"/>
          </w:tcPr>
          <w:p w14:paraId="2F1A4599">
            <w:pPr>
              <w:jc w:val="center"/>
              <w:rPr>
                <w:vertAlign w:val="baseline"/>
              </w:rPr>
            </w:pPr>
            <w:r>
              <w:rPr>
                <w:rFonts w:hint="eastAsia"/>
                <w:b/>
                <w:bCs/>
                <w:sz w:val="28"/>
                <w:szCs w:val="36"/>
                <w:vertAlign w:val="baseline"/>
                <w:lang w:val="en-US" w:eastAsia="zh-CN"/>
              </w:rPr>
              <w:t>专机专用配套试剂/耗材</w:t>
            </w:r>
          </w:p>
        </w:tc>
      </w:tr>
      <w:tr w14:paraId="6DF391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1BD24485">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eastAsiaTheme="minorEastAsia" w:cstheme="minorEastAsia"/>
                <w:sz w:val="24"/>
                <w:szCs w:val="24"/>
                <w:lang w:val="en-US" w:eastAsia="zh-CN"/>
              </w:rPr>
              <w:t>1</w:t>
            </w:r>
          </w:p>
        </w:tc>
        <w:tc>
          <w:tcPr>
            <w:tcW w:w="2754" w:type="dxa"/>
            <w:gridSpan w:val="2"/>
            <w:vAlign w:val="center"/>
          </w:tcPr>
          <w:p w14:paraId="08361BC6">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一次性射频消融电极针</w:t>
            </w:r>
          </w:p>
        </w:tc>
        <w:tc>
          <w:tcPr>
            <w:tcW w:w="3974" w:type="dxa"/>
            <w:gridSpan w:val="3"/>
            <w:vAlign w:val="center"/>
          </w:tcPr>
          <w:p w14:paraId="0FAF4B45">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支</w:t>
            </w:r>
          </w:p>
        </w:tc>
      </w:tr>
      <w:tr w14:paraId="4C62BC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4B70A118">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2</w:t>
            </w:r>
          </w:p>
        </w:tc>
        <w:tc>
          <w:tcPr>
            <w:tcW w:w="2754" w:type="dxa"/>
            <w:gridSpan w:val="2"/>
            <w:vAlign w:val="center"/>
          </w:tcPr>
          <w:p w14:paraId="0F97DAA3">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磨钻头</w:t>
            </w:r>
          </w:p>
        </w:tc>
        <w:tc>
          <w:tcPr>
            <w:tcW w:w="3974" w:type="dxa"/>
            <w:gridSpan w:val="3"/>
            <w:vAlign w:val="center"/>
          </w:tcPr>
          <w:p w14:paraId="69F3D50E">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支</w:t>
            </w:r>
          </w:p>
        </w:tc>
      </w:tr>
      <w:tr w14:paraId="572DA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84" w:type="dxa"/>
            <w:vAlign w:val="center"/>
          </w:tcPr>
          <w:p w14:paraId="5BDAA602">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3</w:t>
            </w:r>
          </w:p>
        </w:tc>
        <w:tc>
          <w:tcPr>
            <w:tcW w:w="2754" w:type="dxa"/>
            <w:gridSpan w:val="2"/>
            <w:vAlign w:val="center"/>
          </w:tcPr>
          <w:p w14:paraId="455F7539">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w:t>
            </w:r>
          </w:p>
        </w:tc>
        <w:tc>
          <w:tcPr>
            <w:tcW w:w="3974" w:type="dxa"/>
            <w:gridSpan w:val="3"/>
            <w:vAlign w:val="center"/>
          </w:tcPr>
          <w:p w14:paraId="4C766CD2">
            <w:pPr>
              <w:keepNext w:val="0"/>
              <w:keepLines w:val="0"/>
              <w:pageBreakBefore w:val="0"/>
              <w:widowControl/>
              <w:kinsoku/>
              <w:wordWrap/>
              <w:overflowPunct/>
              <w:topLinePunct w:val="0"/>
              <w:autoSpaceDE/>
              <w:autoSpaceDN/>
              <w:bidi w:val="0"/>
              <w:adjustRightInd/>
              <w:snapToGrid/>
              <w:spacing w:beforeAutospacing="0" w:afterAutospacing="0"/>
              <w:jc w:val="center"/>
              <w:textAlignment w:val="auto"/>
              <w:rPr>
                <w:rFonts w:hint="default" w:asciiTheme="minorEastAsia" w:hAnsiTheme="minorEastAsia" w:eastAsiaTheme="minorEastAsia" w:cstheme="minorEastAsia"/>
                <w:sz w:val="24"/>
                <w:szCs w:val="24"/>
                <w:lang w:val="en-US" w:eastAsia="zh-CN"/>
              </w:rPr>
            </w:pPr>
            <w:r>
              <w:rPr>
                <w:rFonts w:hint="eastAsia" w:asciiTheme="minorEastAsia" w:hAnsiTheme="minorEastAsia" w:cstheme="minorEastAsia"/>
                <w:sz w:val="24"/>
                <w:szCs w:val="24"/>
                <w:lang w:val="en-US" w:eastAsia="zh-CN"/>
              </w:rPr>
              <w:t>/</w:t>
            </w:r>
          </w:p>
        </w:tc>
      </w:tr>
    </w:tbl>
    <w:p w14:paraId="6353E4C5"/>
    <w:sectPr>
      <w:pgSz w:w="11920" w:h="16840"/>
      <w:pgMar w:top="1440" w:right="2268" w:bottom="1440" w:left="2268" w:header="0" w:footer="726" w:gutter="0"/>
      <w:cols w:space="0" w:num="1"/>
      <w:rtlGutter w:val="0"/>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Helvetica Neue">
    <w:altName w:val="Times New Roman"/>
    <w:panose1 w:val="02000503000000020004"/>
    <w:charset w:val="00"/>
    <w:family w:val="auto"/>
    <w:pitch w:val="default"/>
    <w:sig w:usb0="00000000" w:usb1="00000000" w:usb2="0000001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56"/>
  <w:displayHorizontalDrawingGridEvery w:val="1"/>
  <w:displayVerticalDrawingGridEvery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7130FAF"/>
    <w:rsid w:val="147E7C45"/>
    <w:rsid w:val="15663024"/>
    <w:rsid w:val="1FD9114E"/>
    <w:rsid w:val="21145502"/>
    <w:rsid w:val="2E850F36"/>
    <w:rsid w:val="37B74EA7"/>
    <w:rsid w:val="57130FAF"/>
    <w:rsid w:val="5826524C"/>
    <w:rsid w:val="591D0A47"/>
    <w:rsid w:val="7DED266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jc w:val="center"/>
    </w:pPr>
    <w:rPr>
      <w:rFonts w:ascii="宋体" w:hAnsi="宋体"/>
      <w:color w:val="FF0000"/>
      <w:szCs w:val="24"/>
    </w:rPr>
  </w:style>
  <w:style w:type="table" w:styleId="4">
    <w:name w:val="Table Grid"/>
    <w:basedOn w:val="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1423</Words>
  <Characters>1530</Characters>
  <Lines>0</Lines>
  <Paragraphs>0</Paragraphs>
  <TotalTime>1</TotalTime>
  <ScaleCrop>false</ScaleCrop>
  <LinksUpToDate>false</LinksUpToDate>
  <CharactersWithSpaces>1665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2026-05-28T08:11:00Z</dcterms:created>
  <dc:creator>joy</dc:creator>
  <cp:lastModifiedBy>joy</cp:lastModifiedBy>
  <dcterms:modified xsi:type="dcterms:W3CDTF">2026-06-05T02:22:14Z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3AE1C11E2DD04F059B515F92CBAC3075_11</vt:lpwstr>
  </property>
  <property fmtid="{D5CDD505-2E9C-101B-9397-08002B2CF9AE}" pid="4" name="KSOTemplateDocerSaveRecord">
    <vt:lpwstr>eyJoZGlkIjoiY2E5YzUwNTk3YWMwNWQ5ODRkMzA4YWI2NjVlNDUwMWIiLCJ1c2VySWQiOiIxMzk0ODIzMDc1In0=</vt:lpwstr>
  </property>
</Properties>
</file>