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sz w:val="24"/>
                <w:szCs w:val="24"/>
                <w:lang w:val="en-US" w:eastAsia="zh-CN"/>
              </w:rPr>
              <w:t>30分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w:t>
            </w:r>
            <w:r>
              <w:rPr>
                <w:rFonts w:hint="eastAsia" w:ascii="宋体" w:hAnsi="宋体" w:eastAsia="宋体" w:cs="宋体"/>
                <w:color w:val="auto"/>
                <w:sz w:val="24"/>
                <w:szCs w:val="24"/>
              </w:rPr>
              <w:t>需求参数响应情况进行打分，各项技术参数指标及要求全部满足的得45分，带“▲”为重要参数，每负偏离一项扣</w:t>
            </w:r>
            <w:r>
              <w:rPr>
                <w:rFonts w:hint="eastAsia" w:ascii="宋体" w:hAnsi="宋体" w:cs="宋体"/>
                <w:b/>
                <w:bCs/>
                <w:color w:val="auto"/>
                <w:sz w:val="24"/>
                <w:szCs w:val="24"/>
                <w:lang w:val="en-US" w:eastAsia="zh-CN"/>
              </w:rPr>
              <w:t>5</w:t>
            </w:r>
            <w:r>
              <w:rPr>
                <w:rFonts w:hint="eastAsia" w:ascii="宋体" w:hAnsi="宋体" w:eastAsia="宋体" w:cs="宋体"/>
                <w:color w:val="auto"/>
                <w:sz w:val="24"/>
                <w:szCs w:val="24"/>
              </w:rPr>
              <w:t>分，其他参数每负偏离一项扣</w:t>
            </w:r>
            <w:r>
              <w:rPr>
                <w:rFonts w:hint="eastAsia" w:ascii="宋体" w:hAnsi="宋体" w:cs="宋体"/>
                <w:b/>
                <w:bCs/>
                <w:color w:val="auto"/>
                <w:sz w:val="24"/>
                <w:szCs w:val="24"/>
                <w:lang w:val="en-US" w:eastAsia="zh-CN"/>
              </w:rPr>
              <w:t>2.5</w:t>
            </w:r>
            <w:r>
              <w:rPr>
                <w:rFonts w:hint="eastAsia" w:ascii="宋体" w:hAnsi="宋体" w:eastAsia="宋体" w:cs="宋体"/>
                <w:color w:val="auto"/>
                <w:sz w:val="24"/>
                <w:szCs w:val="24"/>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注：对带三角号</w:t>
            </w:r>
            <w:r>
              <w:rPr>
                <w:rFonts w:hint="eastAsia" w:ascii="宋体" w:hAnsi="宋体" w:eastAsia="宋体" w:cs="宋体"/>
                <w:color w:val="000000" w:themeColor="text1"/>
                <w:sz w:val="24"/>
                <w:szCs w:val="24"/>
                <w14:textFill>
                  <w14:solidFill>
                    <w14:schemeClr w14:val="tx1"/>
                  </w14:solidFill>
                </w14:textFill>
              </w:rPr>
              <w:t>（“▲”）的重要技术参数投标人必须提供相关证明材料（技术白皮书、彩页、产品说明书或检测报告等），否则按负偏离进行扣分。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对招标文件的实质性要求作出有效响应且投标文件按招标文件要求具有有效性和完整性，得优：6分；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投标文件不缺项，表达不清晰，需现场解答，得良：3分；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w:t>
            </w:r>
            <w:r>
              <w:rPr>
                <w:rFonts w:hint="eastAsia" w:ascii="宋体" w:hAnsi="宋体" w:cs="宋体"/>
                <w:color w:val="000000" w:themeColor="text1"/>
                <w:sz w:val="24"/>
                <w:szCs w:val="24"/>
                <w:lang w:val="en-US" w:eastAsia="zh-CN"/>
                <w14:textFill>
                  <w14:solidFill>
                    <w14:schemeClr w14:val="tx1"/>
                  </w14:solidFill>
                </w14:textFill>
              </w:rPr>
              <w:t>招标办</w:t>
            </w:r>
            <w:r>
              <w:rPr>
                <w:rFonts w:hint="eastAsia" w:ascii="宋体" w:hAnsi="宋体" w:eastAsia="宋体" w:cs="宋体"/>
                <w:color w:val="000000" w:themeColor="text1"/>
                <w:sz w:val="24"/>
                <w:szCs w:val="24"/>
                <w14:textFill>
                  <w14:solidFill>
                    <w14:schemeClr w14:val="tx1"/>
                  </w14:solidFill>
                </w14:textFill>
              </w:rPr>
              <w:t>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470E1EED">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rPr>
        <w:t>缺项或不合格，则该项为0分。</w:t>
      </w:r>
    </w:p>
    <w:p w14:paraId="562519A6">
      <w:pPr>
        <w:numPr>
          <w:ilvl w:val="0"/>
          <w:numId w:val="3"/>
        </w:numPr>
        <w:spacing w:line="360" w:lineRule="auto"/>
        <w:ind w:firstLine="420" w:firstLineChars="200"/>
        <w:rPr>
          <w:rFonts w:hint="eastAsia" w:ascii="宋体" w:hAnsi="宋体"/>
          <w:sz w:val="24"/>
          <w:szCs w:val="24"/>
        </w:rPr>
      </w:pPr>
      <w:r>
        <w:rPr>
          <w:rFonts w:hint="eastAsia" w:ascii="宋体" w:hAnsi="宋体"/>
          <w:color w:val="auto"/>
          <w:szCs w:val="21"/>
        </w:rPr>
        <w:t>带“★”的参数为实质性参数，达不到招标文件要求的，该投标文件不通过。</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2026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401658"/>
      <w:bookmarkStart w:id="3" w:name="_Toc201997946"/>
      <w:bookmarkStart w:id="4" w:name="_Toc201742861"/>
      <w:bookmarkStart w:id="5" w:name="_Toc201719118"/>
      <w:bookmarkStart w:id="6" w:name="_Toc201743116"/>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574D581">
      <w:pPr>
        <w:jc w:val="center"/>
        <w:rPr>
          <w:rFonts w:asciiTheme="minorEastAsia" w:hAnsiTheme="minorEastAsia" w:eastAsiaTheme="minorEastAsia"/>
          <w:b/>
          <w:bCs/>
          <w:sz w:val="24"/>
          <w:szCs w:val="24"/>
        </w:rPr>
      </w:pPr>
    </w:p>
    <w:p w14:paraId="4B77A792">
      <w:pPr>
        <w:jc w:val="center"/>
        <w:rPr>
          <w:rFonts w:asciiTheme="minorEastAsia" w:hAnsiTheme="minorEastAsia" w:eastAsiaTheme="minorEastAsia"/>
          <w:b/>
          <w:bCs/>
          <w:sz w:val="24"/>
          <w:szCs w:val="24"/>
        </w:rPr>
      </w:pPr>
    </w:p>
    <w:p w14:paraId="17CB4789">
      <w:pPr>
        <w:jc w:val="center"/>
        <w:rPr>
          <w:rFonts w:asciiTheme="minorEastAsia" w:hAnsiTheme="minorEastAsia" w:eastAsiaTheme="minorEastAsia"/>
          <w:b/>
          <w:bCs/>
          <w:sz w:val="24"/>
          <w:szCs w:val="24"/>
        </w:rPr>
      </w:pPr>
    </w:p>
    <w:p w14:paraId="59BCAACA">
      <w:pPr>
        <w:jc w:val="center"/>
        <w:rPr>
          <w:rFonts w:asciiTheme="minorEastAsia" w:hAnsiTheme="minorEastAsia" w:eastAsiaTheme="minorEastAsia"/>
          <w:b/>
          <w:bCs/>
          <w:sz w:val="24"/>
          <w:szCs w:val="24"/>
        </w:rPr>
      </w:pPr>
    </w:p>
    <w:p w14:paraId="353B84CE">
      <w:pPr>
        <w:jc w:val="center"/>
        <w:rPr>
          <w:rFonts w:asciiTheme="minorEastAsia" w:hAnsiTheme="minorEastAsia" w:eastAsiaTheme="minorEastAsia"/>
          <w:b/>
          <w:bCs/>
          <w:sz w:val="24"/>
          <w:szCs w:val="24"/>
        </w:rPr>
      </w:pPr>
    </w:p>
    <w:p w14:paraId="221DCE99">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none"/>
        </w:rPr>
        <w:t>院</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193"/>
        <w:gridCol w:w="1564"/>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口腔综合治疗台水路污染与管理专用系统</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198000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bl>
          <w:p w14:paraId="11E886F9">
            <w:pPr>
              <w:widowControl/>
              <w:ind w:firstLine="720" w:firstLineChars="300"/>
              <w:jc w:val="both"/>
              <w:rPr>
                <w:rFonts w:hint="default" w:ascii="宋体" w:hAnsi="宋体" w:cs="宋体"/>
                <w:color w:val="auto"/>
                <w:kern w:val="0"/>
                <w:sz w:val="24"/>
                <w:szCs w:val="24"/>
                <w:lang w:val="en-US" w:eastAsia="zh-CN"/>
              </w:rPr>
            </w:pPr>
          </w:p>
        </w:tc>
      </w:tr>
      <w:tr w14:paraId="62FFE8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4CE87AF6">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2D0DA3">
            <w:pPr>
              <w:widowControl/>
              <w:spacing w:before="100" w:beforeAutospacing="1" w:after="100" w:afterAutospacing="1"/>
              <w:jc w:val="left"/>
              <w:rPr>
                <w:rFonts w:hint="eastAsia" w:ascii="宋体" w:hAnsi="宋体" w:eastAsia="宋体" w:cs="宋体"/>
                <w:b/>
                <w:bCs/>
                <w:color w:val="auto"/>
                <w:kern w:val="0"/>
                <w:sz w:val="24"/>
                <w:szCs w:val="24"/>
              </w:rPr>
            </w:pP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sz w:val="21"/>
                <w:szCs w:val="21"/>
                <w:highlight w:val="none"/>
                <w:lang w:eastAsia="zh-CN"/>
              </w:rPr>
              <w:t>发生器须提供制造商有效期内的《消毒产品生产企业许可证》及全套《消毒产品卫生安全评价报告》，且该产品须在“全国消毒产品网上备案信息服务平台”已注册并查询截图。</w:t>
            </w: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193"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564" w:type="dxa"/>
            <w:tcBorders>
              <w:top w:val="single" w:color="auto" w:sz="6" w:space="0"/>
              <w:left w:val="single" w:color="auto" w:sz="6" w:space="0"/>
              <w:bottom w:val="nil"/>
              <w:right w:val="nil"/>
            </w:tcBorders>
            <w:noWrap w:val="0"/>
            <w:vAlign w:val="center"/>
          </w:tcPr>
          <w:p w14:paraId="0A857267">
            <w:pPr>
              <w:widowControl/>
              <w:spacing w:before="100" w:beforeAutospacing="1" w:after="100" w:afterAutospacing="1"/>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评分分值</w:t>
            </w:r>
          </w:p>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（合计45分）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D9BAF5E">
            <w:pPr>
              <w:widowControl/>
              <w:spacing w:before="0" w:beforeAutospacing="0" w:after="0" w:afterAutospacing="0"/>
              <w:ind w:firstLine="0" w:firstLineChars="0"/>
              <w:jc w:val="center"/>
              <w:rPr>
                <w:rFonts w:hint="eastAsia" w:ascii="宋体" w:hAnsi="宋体" w:cs="宋体"/>
                <w:kern w:val="0"/>
                <w:sz w:val="24"/>
                <w:szCs w:val="24"/>
                <w:lang w:val="en-US" w:eastAsia="zh-CN"/>
              </w:rPr>
            </w:pPr>
            <w:r>
              <w:rPr>
                <w:rFonts w:hint="eastAsia" w:ascii="宋体" w:hAnsi="宋体" w:eastAsia="宋体" w:cs="宋体"/>
                <w:sz w:val="21"/>
                <w:szCs w:val="21"/>
                <w:lang w:val="en-US" w:eastAsia="zh-CN"/>
              </w:rPr>
              <w:t>1</w:t>
            </w:r>
          </w:p>
        </w:tc>
        <w:tc>
          <w:tcPr>
            <w:tcW w:w="6193" w:type="dxa"/>
            <w:tcBorders>
              <w:top w:val="single" w:color="auto" w:sz="6" w:space="0"/>
              <w:left w:val="single" w:color="auto" w:sz="6" w:space="0"/>
              <w:bottom w:val="nil"/>
              <w:right w:val="nil"/>
            </w:tcBorders>
            <w:noWrap w:val="0"/>
            <w:vAlign w:val="center"/>
          </w:tcPr>
          <w:p w14:paraId="71F8D0E9">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lang w:eastAsia="zh-CN"/>
              </w:rPr>
            </w:pPr>
            <w:r>
              <w:rPr>
                <w:rFonts w:hint="eastAsia" w:ascii="宋体" w:hAnsi="宋体" w:eastAsia="宋体" w:cs="宋体"/>
                <w:kern w:val="2"/>
                <w:sz w:val="21"/>
                <w:szCs w:val="21"/>
                <w:lang w:val="en-US" w:eastAsia="zh-CN" w:bidi="ar-SA"/>
              </w:rPr>
              <w:t>前置缓存自来水容量：100L~200L，数量1个。</w:t>
            </w:r>
          </w:p>
        </w:tc>
        <w:tc>
          <w:tcPr>
            <w:tcW w:w="1564" w:type="dxa"/>
            <w:tcBorders>
              <w:top w:val="single" w:color="auto" w:sz="6" w:space="0"/>
              <w:left w:val="single" w:color="auto" w:sz="6" w:space="0"/>
              <w:bottom w:val="nil"/>
              <w:right w:val="nil"/>
            </w:tcBorders>
            <w:noWrap w:val="0"/>
            <w:vAlign w:val="center"/>
          </w:tcPr>
          <w:p w14:paraId="196A446F">
            <w:pPr>
              <w:widowControl/>
              <w:spacing w:before="0" w:beforeAutospacing="0" w:after="0" w:afterAutospacing="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1"/>
                <w:szCs w:val="21"/>
                <w:lang w:val="en-US" w:eastAsia="zh-CN"/>
              </w:rPr>
              <w:t>2.5</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BD88AB9">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2</w:t>
            </w:r>
          </w:p>
        </w:tc>
        <w:tc>
          <w:tcPr>
            <w:tcW w:w="6193" w:type="dxa"/>
            <w:tcBorders>
              <w:top w:val="single" w:color="auto" w:sz="6" w:space="0"/>
              <w:left w:val="single" w:color="auto" w:sz="6" w:space="0"/>
              <w:bottom w:val="nil"/>
              <w:right w:val="nil"/>
            </w:tcBorders>
            <w:noWrap w:val="0"/>
            <w:vAlign w:val="center"/>
          </w:tcPr>
          <w:p w14:paraId="5E2FCD12">
            <w:pPr>
              <w:widowControl/>
              <w:spacing w:before="0" w:beforeAutospacing="0" w:after="0" w:afterAutospacing="0"/>
              <w:jc w:val="left"/>
              <w:rPr>
                <w:rFonts w:hint="eastAsia" w:ascii="宋体" w:hAnsi="宋体" w:cs="宋体"/>
                <w:color w:val="auto"/>
                <w:kern w:val="0"/>
                <w:szCs w:val="21"/>
                <w:lang w:val="en-US" w:eastAsia="zh-CN"/>
              </w:rPr>
            </w:pPr>
            <w:r>
              <w:rPr>
                <w:rFonts w:hint="eastAsia" w:ascii="宋体" w:hAnsi="宋体" w:eastAsia="宋体" w:cs="宋体"/>
                <w:sz w:val="21"/>
                <w:szCs w:val="21"/>
                <w:lang w:val="en-US" w:eastAsia="zh-CN"/>
              </w:rPr>
              <w:t>前置恒压水泵：1个。</w:t>
            </w:r>
          </w:p>
        </w:tc>
        <w:tc>
          <w:tcPr>
            <w:tcW w:w="1564" w:type="dxa"/>
            <w:tcBorders>
              <w:top w:val="single" w:color="auto" w:sz="6" w:space="0"/>
              <w:left w:val="single" w:color="auto" w:sz="6" w:space="0"/>
              <w:bottom w:val="nil"/>
              <w:right w:val="nil"/>
            </w:tcBorders>
            <w:noWrap w:val="0"/>
            <w:vAlign w:val="center"/>
          </w:tcPr>
          <w:p w14:paraId="2793BCD7">
            <w:pPr>
              <w:widowControl/>
              <w:spacing w:before="0" w:beforeAutospacing="0" w:after="0" w:afterAutospacing="0"/>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color w:val="000000"/>
                <w:kern w:val="0"/>
                <w:sz w:val="21"/>
                <w:szCs w:val="21"/>
                <w:lang w:val="en-US" w:eastAsia="zh-CN"/>
              </w:rPr>
              <w:t>2.5</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DB596F1">
            <w:pPr>
              <w:widowControl/>
              <w:spacing w:before="0" w:beforeAutospacing="0" w:after="0" w:afterAutospacing="0"/>
              <w:ind w:firstLine="0" w:firstLineChars="0"/>
              <w:jc w:val="center"/>
              <w:rPr>
                <w:rFonts w:hint="eastAsia" w:ascii="宋体" w:hAnsi="宋体" w:cs="宋体"/>
                <w:kern w:val="0"/>
                <w:sz w:val="24"/>
                <w:szCs w:val="24"/>
                <w:lang w:val="en-US" w:eastAsia="zh-CN"/>
              </w:rPr>
            </w:pPr>
            <w:r>
              <w:rPr>
                <w:rFonts w:hint="eastAsia" w:ascii="宋体" w:hAnsi="宋体" w:eastAsia="宋体" w:cs="宋体"/>
                <w:bCs/>
                <w:color w:val="FF0000"/>
                <w:sz w:val="21"/>
                <w:szCs w:val="21"/>
              </w:rPr>
              <w:t>▲</w:t>
            </w:r>
            <w:r>
              <w:rPr>
                <w:rFonts w:hint="eastAsia" w:ascii="宋体" w:hAnsi="宋体" w:eastAsia="宋体" w:cs="宋体"/>
                <w:color w:val="000000"/>
                <w:kern w:val="0"/>
                <w:sz w:val="21"/>
                <w:szCs w:val="21"/>
                <w:lang w:val="en-US" w:eastAsia="zh-CN"/>
              </w:rPr>
              <w:t>3</w:t>
            </w:r>
          </w:p>
        </w:tc>
        <w:tc>
          <w:tcPr>
            <w:tcW w:w="6193" w:type="dxa"/>
            <w:tcBorders>
              <w:top w:val="single" w:color="auto" w:sz="6" w:space="0"/>
              <w:left w:val="single" w:color="auto" w:sz="6" w:space="0"/>
              <w:bottom w:val="nil"/>
              <w:right w:val="nil"/>
            </w:tcBorders>
            <w:noWrap w:val="0"/>
            <w:vAlign w:val="center"/>
          </w:tcPr>
          <w:p w14:paraId="748E7C82">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highlight w:val="none"/>
              </w:rPr>
            </w:pPr>
            <w:r>
              <w:rPr>
                <w:rFonts w:hint="eastAsia" w:ascii="宋体" w:hAnsi="宋体" w:eastAsia="宋体" w:cs="宋体"/>
                <w:kern w:val="2"/>
                <w:sz w:val="21"/>
                <w:szCs w:val="21"/>
                <w:highlight w:val="none"/>
                <w:lang w:val="en-US" w:eastAsia="zh-CN" w:bidi="ar-SA"/>
              </w:rPr>
              <w:t>微酸性电解水：pH 值：5.0-6.5； 有效氯（次氯酸）含量：60-80mg/L ；氧化还原电位（ORP）：600~900mV；残留氯离子浓度：≤150mg/L（提供产品彩页或说明书或官网截图扫描件等证明材料）。</w:t>
            </w:r>
          </w:p>
        </w:tc>
        <w:tc>
          <w:tcPr>
            <w:tcW w:w="1564" w:type="dxa"/>
            <w:tcBorders>
              <w:top w:val="single" w:color="auto" w:sz="6" w:space="0"/>
              <w:left w:val="single" w:color="auto" w:sz="6" w:space="0"/>
              <w:bottom w:val="nil"/>
              <w:right w:val="nil"/>
            </w:tcBorders>
            <w:noWrap w:val="0"/>
            <w:vAlign w:val="center"/>
          </w:tcPr>
          <w:p w14:paraId="357BEB7C">
            <w:pPr>
              <w:widowControl/>
              <w:spacing w:before="0" w:beforeAutospacing="0" w:after="0" w:afterAutospacing="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1DF4C051">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bCs/>
                <w:color w:val="FF0000"/>
                <w:sz w:val="21"/>
                <w:szCs w:val="21"/>
              </w:rPr>
              <w:t>▲</w:t>
            </w:r>
            <w:r>
              <w:rPr>
                <w:rFonts w:hint="eastAsia" w:ascii="宋体" w:hAnsi="宋体" w:eastAsia="宋体" w:cs="宋体"/>
                <w:color w:val="000000"/>
                <w:kern w:val="0"/>
                <w:sz w:val="21"/>
                <w:szCs w:val="21"/>
                <w:lang w:val="en-US" w:eastAsia="zh-CN"/>
              </w:rPr>
              <w:t>4</w:t>
            </w:r>
          </w:p>
        </w:tc>
        <w:tc>
          <w:tcPr>
            <w:tcW w:w="6193" w:type="dxa"/>
            <w:tcBorders>
              <w:top w:val="single" w:color="auto" w:sz="6" w:space="0"/>
              <w:left w:val="single" w:color="auto" w:sz="6" w:space="0"/>
              <w:bottom w:val="nil"/>
              <w:right w:val="nil"/>
            </w:tcBorders>
            <w:noWrap w:val="0"/>
            <w:vAlign w:val="center"/>
          </w:tcPr>
          <w:p w14:paraId="78A2EC55">
            <w:pPr>
              <w:widowControl/>
              <w:spacing w:before="0" w:beforeAutospacing="0" w:after="0" w:afterAutospacing="0"/>
              <w:jc w:val="left"/>
              <w:rPr>
                <w:rFonts w:hint="eastAsia" w:ascii="宋体" w:hAnsi="宋体" w:cs="宋体"/>
                <w:color w:val="auto"/>
                <w:kern w:val="0"/>
                <w:szCs w:val="21"/>
                <w:lang w:val="en-US" w:eastAsia="zh-CN"/>
              </w:rPr>
            </w:pPr>
            <w:r>
              <w:rPr>
                <w:rFonts w:hint="eastAsia" w:ascii="宋体" w:hAnsi="宋体" w:eastAsia="宋体" w:cs="宋体"/>
                <w:kern w:val="2"/>
                <w:sz w:val="21"/>
                <w:szCs w:val="21"/>
                <w:lang w:val="en-US" w:eastAsia="zh-CN" w:bidi="ar-SA"/>
              </w:rPr>
              <w:t>产水量：微酸性电解水流量 ≥240L/H。（提供产品彩页或说明书或官网截图扫描件等证明材料）</w:t>
            </w:r>
          </w:p>
        </w:tc>
        <w:tc>
          <w:tcPr>
            <w:tcW w:w="1564" w:type="dxa"/>
            <w:tcBorders>
              <w:top w:val="single" w:color="auto" w:sz="6" w:space="0"/>
              <w:left w:val="single" w:color="auto" w:sz="6" w:space="0"/>
              <w:bottom w:val="nil"/>
              <w:right w:val="nil"/>
            </w:tcBorders>
            <w:noWrap w:val="0"/>
            <w:vAlign w:val="center"/>
          </w:tcPr>
          <w:p w14:paraId="56E626EE">
            <w:pPr>
              <w:widowControl/>
              <w:spacing w:before="0" w:beforeAutospacing="0" w:after="0" w:afterAutospacing="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5</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3B32453">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5</w:t>
            </w:r>
          </w:p>
        </w:tc>
        <w:tc>
          <w:tcPr>
            <w:tcW w:w="6193" w:type="dxa"/>
            <w:tcBorders>
              <w:top w:val="single" w:color="auto" w:sz="6" w:space="0"/>
              <w:left w:val="single" w:color="auto" w:sz="6" w:space="0"/>
              <w:bottom w:val="nil"/>
              <w:right w:val="nil"/>
            </w:tcBorders>
            <w:noWrap w:val="0"/>
            <w:vAlign w:val="center"/>
          </w:tcPr>
          <w:p w14:paraId="31069815">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highlight w:val="none"/>
              </w:rPr>
            </w:pPr>
            <w:r>
              <w:rPr>
                <w:rFonts w:hint="eastAsia" w:ascii="宋体" w:hAnsi="宋体" w:eastAsia="宋体" w:cs="宋体"/>
                <w:kern w:val="2"/>
                <w:sz w:val="21"/>
                <w:szCs w:val="21"/>
                <w:highlight w:val="none"/>
                <w:lang w:val="en-US" w:eastAsia="zh-CN" w:bidi="ar-SA"/>
              </w:rPr>
              <w:t>口腔水路消毒专用机配置液位传感启停装置，一键控制。</w:t>
            </w:r>
          </w:p>
        </w:tc>
        <w:tc>
          <w:tcPr>
            <w:tcW w:w="1564" w:type="dxa"/>
            <w:tcBorders>
              <w:top w:val="single" w:color="auto" w:sz="6" w:space="0"/>
              <w:left w:val="single" w:color="auto" w:sz="6" w:space="0"/>
              <w:bottom w:val="nil"/>
              <w:right w:val="nil"/>
            </w:tcBorders>
            <w:noWrap w:val="0"/>
            <w:vAlign w:val="center"/>
          </w:tcPr>
          <w:p w14:paraId="7F06A14B">
            <w:pPr>
              <w:widowControl/>
              <w:spacing w:before="0" w:beforeAutospacing="0" w:after="0" w:afterAutospacing="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1"/>
                <w:szCs w:val="21"/>
                <w:lang w:val="en-US" w:eastAsia="zh-CN"/>
              </w:rPr>
              <w:t>2.5</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C478AB3">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6</w:t>
            </w:r>
          </w:p>
        </w:tc>
        <w:tc>
          <w:tcPr>
            <w:tcW w:w="6193" w:type="dxa"/>
            <w:tcBorders>
              <w:top w:val="single" w:color="auto" w:sz="6" w:space="0"/>
              <w:left w:val="single" w:color="auto" w:sz="6" w:space="0"/>
              <w:bottom w:val="nil"/>
              <w:right w:val="nil"/>
            </w:tcBorders>
            <w:noWrap w:val="0"/>
            <w:vAlign w:val="center"/>
          </w:tcPr>
          <w:p w14:paraId="14D66A74">
            <w:pPr>
              <w:widowControl/>
              <w:spacing w:before="0" w:beforeAutospacing="0" w:after="0" w:afterAutospacing="0"/>
              <w:jc w:val="left"/>
              <w:rPr>
                <w:rFonts w:hint="eastAsia" w:ascii="宋体" w:hAnsi="宋体" w:cs="宋体"/>
                <w:color w:val="auto"/>
                <w:kern w:val="0"/>
                <w:szCs w:val="21"/>
              </w:rPr>
            </w:pPr>
            <w:r>
              <w:rPr>
                <w:rFonts w:hint="eastAsia" w:ascii="宋体" w:hAnsi="宋体" w:eastAsia="宋体" w:cs="宋体"/>
                <w:kern w:val="2"/>
                <w:sz w:val="21"/>
                <w:szCs w:val="21"/>
                <w:lang w:val="en-US" w:eastAsia="zh-CN" w:bidi="ar-SA"/>
              </w:rPr>
              <w:t>发生器须采用无隔膜电解方式生成以次氯酸小分子为杀菌成分的微酸性次氯酸水溶液。</w:t>
            </w:r>
          </w:p>
        </w:tc>
        <w:tc>
          <w:tcPr>
            <w:tcW w:w="1564" w:type="dxa"/>
            <w:tcBorders>
              <w:top w:val="single" w:color="auto" w:sz="6" w:space="0"/>
              <w:left w:val="single" w:color="auto" w:sz="6" w:space="0"/>
              <w:bottom w:val="nil"/>
              <w:right w:val="nil"/>
            </w:tcBorders>
            <w:noWrap w:val="0"/>
            <w:vAlign w:val="center"/>
          </w:tcPr>
          <w:p w14:paraId="6DF30F12">
            <w:pPr>
              <w:widowControl/>
              <w:spacing w:before="0" w:beforeAutospacing="0" w:after="0" w:afterAutospacing="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1"/>
                <w:szCs w:val="21"/>
                <w:lang w:val="en-US" w:eastAsia="zh-CN"/>
              </w:rPr>
              <w:t>2.5</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5C65907">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7</w:t>
            </w:r>
          </w:p>
        </w:tc>
        <w:tc>
          <w:tcPr>
            <w:tcW w:w="6193" w:type="dxa"/>
            <w:tcBorders>
              <w:top w:val="single" w:color="auto" w:sz="6" w:space="0"/>
              <w:left w:val="single" w:color="auto" w:sz="6" w:space="0"/>
              <w:bottom w:val="nil"/>
              <w:right w:val="nil"/>
            </w:tcBorders>
            <w:noWrap w:val="0"/>
            <w:vAlign w:val="center"/>
          </w:tcPr>
          <w:p w14:paraId="254EE882">
            <w:pPr>
              <w:widowControl/>
              <w:spacing w:before="0" w:beforeAutospacing="0" w:after="0" w:afterAutospacing="0"/>
              <w:jc w:val="left"/>
              <w:rPr>
                <w:rFonts w:hint="eastAsia" w:ascii="宋体" w:hAnsi="宋体" w:cs="宋体"/>
                <w:color w:val="auto"/>
                <w:kern w:val="0"/>
                <w:szCs w:val="21"/>
              </w:rPr>
            </w:pPr>
            <w:r>
              <w:rPr>
                <w:rFonts w:hint="eastAsia" w:ascii="宋体" w:hAnsi="宋体" w:eastAsia="宋体" w:cs="宋体"/>
                <w:kern w:val="2"/>
                <w:sz w:val="21"/>
                <w:szCs w:val="21"/>
                <w:lang w:val="en-US" w:eastAsia="zh-CN" w:bidi="ar-SA"/>
              </w:rPr>
              <w:t>发生器电解槽电极须采用钛基PT-Ir材质，寿命≥4000hr。</w:t>
            </w:r>
          </w:p>
        </w:tc>
        <w:tc>
          <w:tcPr>
            <w:tcW w:w="1564" w:type="dxa"/>
            <w:tcBorders>
              <w:top w:val="single" w:color="auto" w:sz="6" w:space="0"/>
              <w:left w:val="single" w:color="auto" w:sz="6" w:space="0"/>
              <w:bottom w:val="nil"/>
              <w:right w:val="nil"/>
            </w:tcBorders>
            <w:noWrap w:val="0"/>
            <w:vAlign w:val="center"/>
          </w:tcPr>
          <w:p w14:paraId="14B21C4C">
            <w:pPr>
              <w:widowControl/>
              <w:spacing w:before="0" w:beforeAutospacing="0" w:after="0" w:afterAutospacing="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1"/>
                <w:szCs w:val="21"/>
                <w:lang w:val="en-US" w:eastAsia="zh-CN"/>
              </w:rPr>
              <w:t>2.5</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D285BA5">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bCs/>
                <w:color w:val="FF0000"/>
                <w:sz w:val="21"/>
                <w:szCs w:val="21"/>
              </w:rPr>
              <w:t>▲</w:t>
            </w:r>
            <w:r>
              <w:rPr>
                <w:rFonts w:hint="eastAsia" w:ascii="宋体" w:hAnsi="宋体" w:eastAsia="宋体" w:cs="宋体"/>
                <w:color w:val="000000"/>
                <w:kern w:val="0"/>
                <w:sz w:val="21"/>
                <w:szCs w:val="21"/>
                <w:lang w:val="en-US" w:eastAsia="zh-CN"/>
              </w:rPr>
              <w:t>8</w:t>
            </w:r>
          </w:p>
        </w:tc>
        <w:tc>
          <w:tcPr>
            <w:tcW w:w="6193" w:type="dxa"/>
            <w:tcBorders>
              <w:top w:val="single" w:color="auto" w:sz="6" w:space="0"/>
              <w:left w:val="single" w:color="auto" w:sz="6" w:space="0"/>
              <w:bottom w:val="nil"/>
              <w:right w:val="nil"/>
            </w:tcBorders>
            <w:noWrap w:val="0"/>
            <w:vAlign w:val="center"/>
          </w:tcPr>
          <w:p w14:paraId="7B923E82">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rPr>
            </w:pPr>
            <w:r>
              <w:rPr>
                <w:rFonts w:hint="eastAsia" w:ascii="宋体" w:hAnsi="宋体" w:eastAsia="宋体" w:cs="宋体"/>
                <w:kern w:val="2"/>
                <w:sz w:val="21"/>
                <w:szCs w:val="21"/>
                <w:lang w:val="en-US" w:eastAsia="zh-CN" w:bidi="ar-SA"/>
              </w:rPr>
              <w:t>发生器须满足GB 28234-2020《酸性电解水生成器卫生要求》微酸性电解水杀灭微生物技术要求（提供产品彩页或说明书或官网截图扫描件等证明材料）。</w:t>
            </w:r>
          </w:p>
        </w:tc>
        <w:tc>
          <w:tcPr>
            <w:tcW w:w="1564" w:type="dxa"/>
            <w:tcBorders>
              <w:top w:val="single" w:color="auto" w:sz="6" w:space="0"/>
              <w:left w:val="single" w:color="auto" w:sz="6" w:space="0"/>
              <w:bottom w:val="nil"/>
              <w:right w:val="nil"/>
            </w:tcBorders>
            <w:noWrap w:val="0"/>
            <w:vAlign w:val="center"/>
          </w:tcPr>
          <w:p w14:paraId="5C47029F">
            <w:pPr>
              <w:widowControl/>
              <w:spacing w:before="0" w:beforeAutospacing="0" w:after="0" w:afterAutospacing="0"/>
              <w:jc w:val="center"/>
              <w:rPr>
                <w:rFonts w:hint="eastAsia" w:ascii="宋体" w:hAnsi="宋体" w:cs="宋体"/>
                <w:color w:val="000000"/>
                <w:kern w:val="0"/>
                <w:sz w:val="24"/>
                <w:szCs w:val="24"/>
                <w:lang w:val="en-US" w:eastAsia="zh-CN"/>
              </w:rPr>
            </w:pPr>
            <w:r>
              <w:rPr>
                <w:rFonts w:hint="eastAsia" w:ascii="宋体" w:hAnsi="宋体" w:eastAsia="宋体" w:cs="宋体"/>
                <w:color w:val="000000"/>
                <w:kern w:val="0"/>
                <w:sz w:val="21"/>
                <w:szCs w:val="21"/>
                <w:lang w:val="en-US" w:eastAsia="zh-CN"/>
              </w:rPr>
              <w:t>5</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56A46477">
            <w:pPr>
              <w:widowControl/>
              <w:spacing w:before="0" w:beforeAutospacing="0" w:after="0" w:afterAutospacing="0"/>
              <w:jc w:val="center"/>
              <w:rPr>
                <w:rFonts w:hint="eastAsia"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9</w:t>
            </w:r>
          </w:p>
        </w:tc>
        <w:tc>
          <w:tcPr>
            <w:tcW w:w="6193" w:type="dxa"/>
            <w:tcBorders>
              <w:top w:val="single" w:color="auto" w:sz="6" w:space="0"/>
              <w:left w:val="single" w:color="auto" w:sz="6" w:space="0"/>
              <w:bottom w:val="nil"/>
              <w:right w:val="nil"/>
            </w:tcBorders>
            <w:noWrap w:val="0"/>
            <w:vAlign w:val="center"/>
          </w:tcPr>
          <w:p w14:paraId="737382B7">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rPr>
            </w:pPr>
            <w:r>
              <w:rPr>
                <w:rFonts w:hint="eastAsia" w:ascii="宋体" w:hAnsi="宋体" w:eastAsia="宋体" w:cs="宋体"/>
                <w:sz w:val="21"/>
                <w:szCs w:val="21"/>
              </w:rPr>
              <w:t>设备运行时可实时查看水流与电流等指标；</w:t>
            </w:r>
            <w:r>
              <w:rPr>
                <w:rFonts w:hint="eastAsia" w:ascii="宋体" w:hAnsi="宋体" w:eastAsia="宋体" w:cs="宋体"/>
                <w:sz w:val="21"/>
                <w:szCs w:val="21"/>
                <w:lang w:val="en-US" w:eastAsia="zh-CN"/>
              </w:rPr>
              <w:t>运行期</w:t>
            </w:r>
            <w:r>
              <w:rPr>
                <w:rFonts w:hint="eastAsia" w:ascii="宋体" w:hAnsi="宋体" w:eastAsia="宋体" w:cs="宋体"/>
                <w:sz w:val="21"/>
                <w:szCs w:val="21"/>
              </w:rPr>
              <w:t>超滤水与微酸性电解</w:t>
            </w:r>
            <w:r>
              <w:rPr>
                <w:rFonts w:hint="eastAsia" w:ascii="宋体" w:hAnsi="宋体" w:eastAsia="宋体" w:cs="宋体"/>
                <w:sz w:val="21"/>
                <w:szCs w:val="21"/>
                <w:lang w:val="en-US" w:eastAsia="zh-CN"/>
              </w:rPr>
              <w:t>水可根据科室需求进行</w:t>
            </w:r>
            <w:r>
              <w:rPr>
                <w:rFonts w:hint="eastAsia" w:ascii="宋体" w:hAnsi="宋体" w:eastAsia="宋体" w:cs="宋体"/>
                <w:sz w:val="21"/>
                <w:szCs w:val="21"/>
              </w:rPr>
              <w:t>个性化定制</w:t>
            </w:r>
            <w:r>
              <w:rPr>
                <w:rFonts w:hint="eastAsia" w:ascii="宋体" w:hAnsi="宋体" w:eastAsia="宋体" w:cs="宋体"/>
                <w:sz w:val="21"/>
                <w:szCs w:val="21"/>
                <w:lang w:eastAsia="zh-CN"/>
              </w:rPr>
              <w:t>。</w:t>
            </w:r>
          </w:p>
        </w:tc>
        <w:tc>
          <w:tcPr>
            <w:tcW w:w="1564" w:type="dxa"/>
            <w:tcBorders>
              <w:top w:val="single" w:color="auto" w:sz="6" w:space="0"/>
              <w:left w:val="single" w:color="auto" w:sz="6" w:space="0"/>
              <w:bottom w:val="nil"/>
              <w:right w:val="nil"/>
            </w:tcBorders>
            <w:noWrap w:val="0"/>
            <w:vAlign w:val="center"/>
          </w:tcPr>
          <w:p w14:paraId="64FC5FB2">
            <w:pPr>
              <w:widowControl/>
              <w:spacing w:before="0" w:beforeAutospacing="0" w:after="0" w:afterAutospacing="0"/>
              <w:jc w:val="center"/>
              <w:rPr>
                <w:rFonts w:hint="default" w:ascii="宋体" w:hAnsi="宋体" w:cs="宋体"/>
                <w:color w:val="000000"/>
                <w:kern w:val="0"/>
                <w:sz w:val="24"/>
                <w:szCs w:val="24"/>
                <w:lang w:val="en-US" w:eastAsia="zh-CN"/>
              </w:rPr>
            </w:pPr>
            <w:r>
              <w:rPr>
                <w:rFonts w:hint="eastAsia" w:ascii="宋体" w:hAnsi="宋体" w:cs="宋体"/>
                <w:color w:val="000000"/>
                <w:kern w:val="0"/>
                <w:sz w:val="21"/>
                <w:szCs w:val="21"/>
                <w:lang w:val="en-US" w:eastAsia="zh-CN"/>
              </w:rPr>
              <w:t>2.5</w:t>
            </w:r>
          </w:p>
        </w:tc>
      </w:tr>
      <w:tr w14:paraId="26CF2D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A4239B">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2EDAA362">
            <w:pPr>
              <w:widowControl/>
              <w:spacing w:before="0" w:beforeAutospacing="0" w:after="0" w:afterAutospacing="0"/>
              <w:jc w:val="center"/>
              <w:rPr>
                <w:rFonts w:hint="default" w:ascii="宋体" w:hAnsi="宋体" w:eastAsia="宋体" w:cs="宋体"/>
                <w:color w:val="000000"/>
                <w:kern w:val="0"/>
                <w:sz w:val="21"/>
                <w:szCs w:val="21"/>
                <w:lang w:val="en-US" w:eastAsia="zh-CN"/>
              </w:rPr>
            </w:pPr>
            <w:r>
              <w:rPr>
                <w:rFonts w:hint="eastAsia" w:ascii="宋体" w:hAnsi="宋体" w:eastAsia="宋体" w:cs="宋体"/>
                <w:bCs/>
                <w:color w:val="FF0000"/>
                <w:sz w:val="21"/>
                <w:szCs w:val="21"/>
              </w:rPr>
              <w:t>▲</w:t>
            </w:r>
            <w:r>
              <w:rPr>
                <w:rFonts w:hint="eastAsia" w:ascii="宋体" w:hAnsi="宋体" w:cs="宋体"/>
                <w:color w:val="000000"/>
                <w:kern w:val="0"/>
                <w:sz w:val="21"/>
                <w:szCs w:val="21"/>
                <w:lang w:val="en-US" w:eastAsia="zh-CN"/>
              </w:rPr>
              <w:t>10</w:t>
            </w:r>
          </w:p>
        </w:tc>
        <w:tc>
          <w:tcPr>
            <w:tcW w:w="6193" w:type="dxa"/>
            <w:tcBorders>
              <w:top w:val="single" w:color="auto" w:sz="6" w:space="0"/>
              <w:left w:val="single" w:color="auto" w:sz="6" w:space="0"/>
              <w:bottom w:val="nil"/>
              <w:right w:val="nil"/>
            </w:tcBorders>
            <w:noWrap w:val="0"/>
            <w:vAlign w:val="center"/>
          </w:tcPr>
          <w:p w14:paraId="3466E83C">
            <w:pPr>
              <w:pStyle w:val="47"/>
              <w:widowControl/>
              <w:numPr>
                <w:ilvl w:val="0"/>
                <w:numId w:val="0"/>
              </w:numPr>
              <w:spacing w:before="0" w:line="258" w:lineRule="auto"/>
              <w:ind w:left="0" w:leftChars="0" w:right="132" w:rightChars="0" w:firstLine="0" w:firstLineChars="0"/>
              <w:rPr>
                <w:rFonts w:hint="default" w:ascii="宋体" w:hAnsi="宋体" w:eastAsia="宋体" w:cs="宋体"/>
                <w:sz w:val="21"/>
                <w:szCs w:val="21"/>
                <w:lang w:val="en-US" w:eastAsia="zh-CN"/>
              </w:rPr>
            </w:pPr>
            <w:r>
              <w:rPr>
                <w:rFonts w:hint="eastAsia" w:cs="宋体"/>
                <w:sz w:val="21"/>
                <w:szCs w:val="21"/>
                <w:lang w:val="en-US" w:eastAsia="zh-CN"/>
              </w:rPr>
              <w:t>配置≥7寸工业级触控显示屏，支持在线检测功能可视化呈现，实时显示pH值、有效氯浓度、流量、运行电流及电解液剩余量等检测数据</w:t>
            </w:r>
            <w:r>
              <w:rPr>
                <w:rFonts w:hint="eastAsia" w:ascii="宋体" w:hAnsi="宋体" w:eastAsia="宋体" w:cs="宋体"/>
                <w:kern w:val="2"/>
                <w:sz w:val="21"/>
                <w:szCs w:val="21"/>
                <w:lang w:val="en-US" w:eastAsia="zh-CN" w:bidi="ar-SA"/>
              </w:rPr>
              <w:t>（提供产品彩页或说明书或官网截图扫描件等证明材料）</w:t>
            </w:r>
            <w:r>
              <w:rPr>
                <w:rFonts w:hint="eastAsia" w:cs="宋体"/>
                <w:kern w:val="2"/>
                <w:sz w:val="21"/>
                <w:szCs w:val="21"/>
                <w:lang w:val="en-US" w:eastAsia="zh-CN" w:bidi="ar-SA"/>
              </w:rPr>
              <w:t>。</w:t>
            </w:r>
          </w:p>
        </w:tc>
        <w:tc>
          <w:tcPr>
            <w:tcW w:w="1564" w:type="dxa"/>
            <w:tcBorders>
              <w:top w:val="single" w:color="auto" w:sz="6" w:space="0"/>
              <w:left w:val="single" w:color="auto" w:sz="6" w:space="0"/>
              <w:bottom w:val="nil"/>
              <w:right w:val="nil"/>
            </w:tcBorders>
            <w:noWrap w:val="0"/>
            <w:vAlign w:val="center"/>
          </w:tcPr>
          <w:p w14:paraId="7534B300">
            <w:pPr>
              <w:widowControl/>
              <w:spacing w:before="0" w:beforeAutospacing="0" w:after="0" w:afterAutospacing="0"/>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5</w:t>
            </w:r>
          </w:p>
        </w:tc>
      </w:tr>
      <w:tr w14:paraId="6B5433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6CEC57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63665510">
            <w:pPr>
              <w:widowControl/>
              <w:spacing w:before="0" w:beforeAutospacing="0" w:after="0" w:afterAutospacing="0"/>
              <w:jc w:val="center"/>
              <w:rPr>
                <w:rFonts w:hint="default"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1</w:t>
            </w:r>
          </w:p>
        </w:tc>
        <w:tc>
          <w:tcPr>
            <w:tcW w:w="6193" w:type="dxa"/>
            <w:tcBorders>
              <w:top w:val="single" w:color="auto" w:sz="6" w:space="0"/>
              <w:left w:val="single" w:color="auto" w:sz="6" w:space="0"/>
              <w:bottom w:val="nil"/>
              <w:right w:val="nil"/>
            </w:tcBorders>
            <w:noWrap w:val="0"/>
            <w:vAlign w:val="center"/>
          </w:tcPr>
          <w:p w14:paraId="19515B34">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rPr>
            </w:pPr>
            <w:r>
              <w:rPr>
                <w:rFonts w:hint="eastAsia" w:ascii="宋体" w:hAnsi="宋体" w:eastAsia="宋体" w:cs="宋体"/>
                <w:kern w:val="2"/>
                <w:sz w:val="21"/>
                <w:szCs w:val="21"/>
                <w:lang w:val="en-US" w:eastAsia="zh-CN" w:bidi="ar-SA"/>
              </w:rPr>
              <w:t>卫生级 PE 无菌微酸性电解水箱容积≥200L ，数量1个，且须搭载防腐蚀消毒液位传感器，与口腔水路消毒专用机数据实时联动控制。</w:t>
            </w:r>
          </w:p>
        </w:tc>
        <w:tc>
          <w:tcPr>
            <w:tcW w:w="1564" w:type="dxa"/>
            <w:tcBorders>
              <w:top w:val="single" w:color="auto" w:sz="6" w:space="0"/>
              <w:left w:val="single" w:color="auto" w:sz="6" w:space="0"/>
              <w:bottom w:val="nil"/>
              <w:right w:val="nil"/>
            </w:tcBorders>
            <w:noWrap w:val="0"/>
            <w:vAlign w:val="center"/>
          </w:tcPr>
          <w:p w14:paraId="2E1EB18B">
            <w:pPr>
              <w:widowControl/>
              <w:spacing w:before="0" w:beforeAutospacing="0" w:after="0" w:afterAutospacing="0"/>
              <w:jc w:val="center"/>
              <w:rPr>
                <w:rFonts w:hint="default" w:ascii="宋体" w:hAnsi="宋体" w:cs="宋体"/>
                <w:color w:val="000000"/>
                <w:kern w:val="0"/>
                <w:sz w:val="24"/>
                <w:szCs w:val="24"/>
                <w:lang w:val="en-US" w:eastAsia="zh-CN"/>
              </w:rPr>
            </w:pPr>
            <w:r>
              <w:rPr>
                <w:rFonts w:hint="eastAsia" w:ascii="宋体" w:hAnsi="宋体" w:cs="宋体"/>
                <w:color w:val="000000"/>
                <w:kern w:val="0"/>
                <w:sz w:val="21"/>
                <w:szCs w:val="21"/>
                <w:lang w:val="en-US" w:eastAsia="zh-CN"/>
              </w:rPr>
              <w:t>2.5</w:t>
            </w:r>
          </w:p>
        </w:tc>
      </w:tr>
      <w:tr w14:paraId="46EFBD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4E1191C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BC0EFCF">
            <w:pPr>
              <w:widowControl/>
              <w:spacing w:before="0" w:beforeAutospacing="0" w:after="0" w:afterAutospacing="0"/>
              <w:jc w:val="center"/>
              <w:rPr>
                <w:rFonts w:hint="default"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2</w:t>
            </w:r>
          </w:p>
        </w:tc>
        <w:tc>
          <w:tcPr>
            <w:tcW w:w="6193" w:type="dxa"/>
            <w:tcBorders>
              <w:top w:val="single" w:color="auto" w:sz="6" w:space="0"/>
              <w:left w:val="single" w:color="auto" w:sz="6" w:space="0"/>
              <w:bottom w:val="nil"/>
              <w:right w:val="nil"/>
            </w:tcBorders>
            <w:noWrap w:val="0"/>
            <w:vAlign w:val="center"/>
          </w:tcPr>
          <w:p w14:paraId="2E8BCE19">
            <w:pPr>
              <w:pStyle w:val="47"/>
              <w:widowControl/>
              <w:numPr>
                <w:ilvl w:val="0"/>
                <w:numId w:val="0"/>
              </w:numPr>
              <w:spacing w:before="0" w:line="258" w:lineRule="auto"/>
              <w:ind w:left="0" w:leftChars="0" w:right="132" w:rightChars="0" w:firstLine="0" w:firstLineChars="0"/>
              <w:rPr>
                <w:rFonts w:hint="eastAsia" w:ascii="宋体" w:hAnsi="宋体" w:cs="宋体"/>
                <w:color w:val="auto"/>
                <w:kern w:val="0"/>
                <w:szCs w:val="21"/>
              </w:rPr>
            </w:pPr>
            <w:r>
              <w:rPr>
                <w:rFonts w:hint="eastAsia" w:ascii="宋体" w:hAnsi="宋体" w:eastAsia="宋体" w:cs="宋体"/>
                <w:kern w:val="2"/>
                <w:sz w:val="21"/>
                <w:szCs w:val="21"/>
                <w:lang w:val="en-US" w:eastAsia="zh-CN" w:bidi="ar-SA"/>
              </w:rPr>
              <w:t>系统采用微电脑控制，全自动运行，可手动/自动设置集中制水和分质供水模式。</w:t>
            </w:r>
          </w:p>
        </w:tc>
        <w:tc>
          <w:tcPr>
            <w:tcW w:w="1564" w:type="dxa"/>
            <w:tcBorders>
              <w:top w:val="single" w:color="auto" w:sz="6" w:space="0"/>
              <w:left w:val="single" w:color="auto" w:sz="6" w:space="0"/>
              <w:bottom w:val="nil"/>
              <w:right w:val="nil"/>
            </w:tcBorders>
            <w:noWrap w:val="0"/>
            <w:vAlign w:val="center"/>
          </w:tcPr>
          <w:p w14:paraId="12F97DDB">
            <w:pPr>
              <w:widowControl/>
              <w:spacing w:before="0" w:beforeAutospacing="0" w:after="0" w:afterAutospacing="0"/>
              <w:jc w:val="center"/>
              <w:rPr>
                <w:rFonts w:hint="eastAsia" w:ascii="宋体" w:hAnsi="宋体" w:cs="宋体"/>
                <w:color w:val="000000"/>
                <w:kern w:val="0"/>
                <w:sz w:val="24"/>
                <w:szCs w:val="24"/>
                <w:lang w:val="en-US" w:eastAsia="zh-CN"/>
              </w:rPr>
            </w:pPr>
            <w:r>
              <w:rPr>
                <w:rFonts w:hint="eastAsia" w:ascii="宋体" w:hAnsi="宋体" w:cs="宋体"/>
                <w:color w:val="000000"/>
                <w:kern w:val="0"/>
                <w:sz w:val="21"/>
                <w:szCs w:val="21"/>
                <w:lang w:val="en-US" w:eastAsia="zh-CN"/>
              </w:rPr>
              <w:t>2.5</w:t>
            </w:r>
          </w:p>
        </w:tc>
      </w:tr>
      <w:tr w14:paraId="63B6E1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EC6B8A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2542BE4E">
            <w:pPr>
              <w:widowControl/>
              <w:spacing w:before="0" w:beforeAutospacing="0" w:after="0" w:afterAutospacing="0"/>
              <w:jc w:val="center"/>
              <w:rPr>
                <w:rFonts w:hint="default" w:ascii="宋体" w:hAnsi="宋体" w:cs="宋体"/>
                <w:kern w:val="0"/>
                <w:sz w:val="24"/>
                <w:szCs w:val="24"/>
                <w:lang w:val="en-US" w:eastAsia="zh-CN"/>
              </w:rPr>
            </w:pP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3</w:t>
            </w:r>
          </w:p>
        </w:tc>
        <w:tc>
          <w:tcPr>
            <w:tcW w:w="6193" w:type="dxa"/>
            <w:tcBorders>
              <w:top w:val="single" w:color="auto" w:sz="6" w:space="0"/>
              <w:left w:val="single" w:color="auto" w:sz="6" w:space="0"/>
              <w:bottom w:val="nil"/>
              <w:right w:val="nil"/>
            </w:tcBorders>
            <w:noWrap w:val="0"/>
            <w:vAlign w:val="center"/>
          </w:tcPr>
          <w:p w14:paraId="1D91A144">
            <w:pPr>
              <w:widowControl/>
              <w:spacing w:before="0" w:beforeAutospacing="0" w:after="0" w:afterAutospacing="0"/>
              <w:jc w:val="left"/>
              <w:rPr>
                <w:rFonts w:hint="eastAsia" w:ascii="宋体" w:hAnsi="宋体" w:cs="宋体"/>
                <w:color w:val="auto"/>
                <w:kern w:val="0"/>
                <w:szCs w:val="21"/>
                <w:highlight w:val="none"/>
              </w:rPr>
            </w:pPr>
            <w:r>
              <w:rPr>
                <w:rFonts w:hint="eastAsia" w:ascii="宋体" w:hAnsi="宋体" w:eastAsia="宋体" w:cs="宋体"/>
                <w:spacing w:val="9"/>
                <w:sz w:val="21"/>
                <w:szCs w:val="21"/>
                <w:highlight w:val="none"/>
                <w:lang w:val="en-US" w:eastAsia="zh-CN"/>
              </w:rPr>
              <w:t>输送</w:t>
            </w:r>
            <w:r>
              <w:rPr>
                <w:rFonts w:hint="eastAsia" w:ascii="宋体" w:hAnsi="宋体" w:eastAsia="宋体" w:cs="宋体"/>
                <w:spacing w:val="9"/>
                <w:sz w:val="21"/>
                <w:szCs w:val="21"/>
                <w:highlight w:val="none"/>
                <w:lang w:eastAsia="zh-CN"/>
              </w:rPr>
              <w:t>恒压水泵：1个</w:t>
            </w:r>
            <w:r>
              <w:rPr>
                <w:rFonts w:hint="eastAsia" w:ascii="宋体" w:hAnsi="宋体" w:eastAsia="宋体" w:cs="宋体"/>
                <w:spacing w:val="9"/>
                <w:sz w:val="21"/>
                <w:szCs w:val="21"/>
                <w:highlight w:val="none"/>
                <w:lang w:val="en-US" w:eastAsia="zh-CN"/>
              </w:rPr>
              <w:t>；输</w:t>
            </w:r>
            <w:r>
              <w:rPr>
                <w:rFonts w:hint="eastAsia" w:ascii="宋体" w:hAnsi="宋体" w:eastAsia="宋体" w:cs="宋体"/>
                <w:sz w:val="21"/>
                <w:szCs w:val="21"/>
                <w:highlight w:val="none"/>
                <w:lang w:eastAsia="zh-CN"/>
              </w:rPr>
              <w:t>送泵及气罐采用304不锈钢泵体，永磁无刷变频电机具有国家一级能效。</w:t>
            </w:r>
          </w:p>
        </w:tc>
        <w:tc>
          <w:tcPr>
            <w:tcW w:w="1564" w:type="dxa"/>
            <w:tcBorders>
              <w:top w:val="single" w:color="auto" w:sz="6" w:space="0"/>
              <w:left w:val="single" w:color="auto" w:sz="6" w:space="0"/>
              <w:bottom w:val="nil"/>
              <w:right w:val="nil"/>
            </w:tcBorders>
            <w:noWrap w:val="0"/>
            <w:vAlign w:val="center"/>
          </w:tcPr>
          <w:p w14:paraId="084C3997">
            <w:pPr>
              <w:widowControl/>
              <w:spacing w:before="0" w:beforeAutospacing="0" w:after="0" w:afterAutospacing="0"/>
              <w:jc w:val="center"/>
              <w:rPr>
                <w:rFonts w:hint="eastAsia" w:ascii="宋体" w:hAnsi="宋体" w:cs="宋体"/>
                <w:color w:val="000000"/>
                <w:kern w:val="0"/>
                <w:sz w:val="24"/>
                <w:szCs w:val="24"/>
                <w:lang w:val="en-US" w:eastAsia="zh-CN"/>
              </w:rPr>
            </w:pPr>
            <w:r>
              <w:rPr>
                <w:rFonts w:hint="eastAsia" w:ascii="宋体" w:hAnsi="宋体" w:cs="宋体"/>
                <w:color w:val="000000"/>
                <w:kern w:val="0"/>
                <w:sz w:val="21"/>
                <w:szCs w:val="21"/>
                <w:lang w:val="en-US" w:eastAsia="zh-CN"/>
              </w:rPr>
              <w:t>2.5</w:t>
            </w:r>
          </w:p>
        </w:tc>
      </w:tr>
      <w:tr w14:paraId="15D0E3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489EAAF">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1D39B28A">
            <w:pPr>
              <w:widowControl/>
              <w:spacing w:before="0" w:beforeAutospacing="0" w:after="0" w:afterAutospacing="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4</w:t>
            </w:r>
          </w:p>
        </w:tc>
        <w:tc>
          <w:tcPr>
            <w:tcW w:w="6193" w:type="dxa"/>
            <w:tcBorders>
              <w:top w:val="single" w:color="auto" w:sz="6" w:space="0"/>
              <w:left w:val="single" w:color="auto" w:sz="6" w:space="0"/>
              <w:bottom w:val="nil"/>
              <w:right w:val="nil"/>
            </w:tcBorders>
            <w:noWrap w:val="0"/>
            <w:vAlign w:val="center"/>
          </w:tcPr>
          <w:p w14:paraId="2C32AB20">
            <w:pPr>
              <w:widowControl/>
              <w:spacing w:before="0" w:beforeAutospacing="0" w:after="0" w:afterAutospacing="0"/>
              <w:jc w:val="left"/>
              <w:rPr>
                <w:rFonts w:hint="eastAsia" w:ascii="宋体" w:hAnsi="宋体" w:eastAsia="宋体" w:cs="宋体"/>
                <w:spacing w:val="9"/>
                <w:sz w:val="21"/>
                <w:szCs w:val="21"/>
                <w:highlight w:val="yellow"/>
                <w:lang w:val="en-US" w:eastAsia="zh-CN"/>
              </w:rPr>
            </w:pPr>
            <w:r>
              <w:rPr>
                <w:rFonts w:hint="eastAsia" w:ascii="宋体" w:hAnsi="宋体" w:eastAsia="宋体" w:cs="宋体"/>
                <w:sz w:val="21"/>
                <w:szCs w:val="21"/>
                <w:lang w:eastAsia="zh-CN"/>
              </w:rPr>
              <w:t>口腔水路消毒专用机须采用</w:t>
            </w:r>
            <w:r>
              <w:rPr>
                <w:rFonts w:hint="eastAsia" w:ascii="宋体" w:hAnsi="宋体" w:eastAsia="宋体" w:cs="宋体"/>
                <w:sz w:val="21"/>
                <w:szCs w:val="21"/>
                <w:lang w:val="en-US" w:eastAsia="zh-CN"/>
              </w:rPr>
              <w:t>小程序或</w:t>
            </w:r>
            <w:r>
              <w:rPr>
                <w:rFonts w:hint="eastAsia" w:ascii="宋体" w:hAnsi="宋体" w:eastAsia="宋体" w:cs="宋体"/>
                <w:sz w:val="21"/>
                <w:szCs w:val="21"/>
                <w:lang w:eastAsia="zh-CN"/>
              </w:rPr>
              <w:t>手机 APP 智能管理，液位远程监控及预警、简易故障自主修复，可配置科室及技术售后人员实时查看水路消毒数据信息账号及平台。</w:t>
            </w:r>
          </w:p>
        </w:tc>
        <w:tc>
          <w:tcPr>
            <w:tcW w:w="1564" w:type="dxa"/>
            <w:tcBorders>
              <w:top w:val="single" w:color="auto" w:sz="6" w:space="0"/>
              <w:left w:val="single" w:color="auto" w:sz="6" w:space="0"/>
              <w:bottom w:val="nil"/>
              <w:right w:val="nil"/>
            </w:tcBorders>
            <w:noWrap w:val="0"/>
            <w:vAlign w:val="center"/>
          </w:tcPr>
          <w:p w14:paraId="23EB0B1F">
            <w:pPr>
              <w:widowControl/>
              <w:spacing w:before="0" w:beforeAutospacing="0" w:after="0" w:afterAutospacing="0"/>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2.5</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5.1</w:t>
                  </w:r>
                  <w:r>
                    <w:rPr>
                      <w:rFonts w:hint="eastAsia" w:ascii="宋体" w:hAnsi="宋体" w:cs="宋体"/>
                      <w:color w:val="auto"/>
                      <w:kern w:val="0"/>
                      <w:szCs w:val="21"/>
                    </w:rPr>
                    <w:t>、付款条件：货到安装验收合格并提供全额发票后，采购方支付100%货款给中标方。</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6.1中标人不能交货的，需偿付不能交货部分货款的10%的违约金并按主管部门相关规定处理。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w:t>
                  </w:r>
                  <w:r>
                    <w:rPr>
                      <w:rFonts w:hint="eastAsia" w:ascii="宋体" w:hAnsi="宋体" w:cs="宋体"/>
                      <w:color w:val="auto"/>
                      <w:kern w:val="0"/>
                      <w:szCs w:val="21"/>
                      <w:lang w:val="en-US" w:eastAsia="zh-CN"/>
                    </w:rPr>
                    <w:t>2</w:t>
                  </w:r>
                  <w:bookmarkStart w:id="15" w:name="_GoBack"/>
                  <w:bookmarkEnd w:id="15"/>
                  <w:r>
                    <w:rPr>
                      <w:rFonts w:hint="eastAsia" w:ascii="宋体" w:hAnsi="宋体" w:cs="宋体"/>
                      <w:color w:val="auto"/>
                      <w:kern w:val="0"/>
                      <w:szCs w:val="21"/>
                    </w:rPr>
                    <w:t>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4F24923F">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E13BE92">
      <w:pPr>
        <w:jc w:val="left"/>
        <w:rPr>
          <w:rFonts w:asciiTheme="minorEastAsia" w:hAnsiTheme="minorEastAsia" w:eastAsiaTheme="minorEastAsia"/>
          <w:b/>
          <w:bCs/>
          <w:color w:val="FF0000"/>
          <w:sz w:val="24"/>
          <w:szCs w:val="24"/>
        </w:rPr>
      </w:pPr>
    </w:p>
    <w:p w14:paraId="41BD62EA">
      <w:pPr>
        <w:jc w:val="left"/>
        <w:rPr>
          <w:rFonts w:asciiTheme="minorEastAsia" w:hAnsiTheme="minorEastAsia" w:eastAsiaTheme="minorEastAsia"/>
          <w:b/>
          <w:bCs/>
          <w:color w:val="FF0000"/>
          <w:sz w:val="24"/>
          <w:szCs w:val="24"/>
        </w:rPr>
      </w:pPr>
    </w:p>
    <w:p w14:paraId="5769378E">
      <w:pPr>
        <w:jc w:val="left"/>
        <w:rPr>
          <w:rFonts w:asciiTheme="minorEastAsia" w:hAnsiTheme="minorEastAsia" w:eastAsiaTheme="minorEastAsia"/>
          <w:b/>
          <w:bCs/>
          <w:color w:val="FF0000"/>
          <w:sz w:val="24"/>
          <w:szCs w:val="24"/>
        </w:rPr>
      </w:pPr>
    </w:p>
    <w:p w14:paraId="7C821C92">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313109540"/>
      <w:bookmarkStart w:id="13" w:name="_Toc201998022"/>
      <w:bookmarkStart w:id="14" w:name="_Toc201743194"/>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7C5D4F27">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FE"/>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FF12A"/>
    <w:multiLevelType w:val="singleLevel"/>
    <w:tmpl w:val="FEEFF12A"/>
    <w:lvl w:ilvl="0" w:tentative="0">
      <w:start w:val="2"/>
      <w:numFmt w:val="decimal"/>
      <w:suff w:val="nothing"/>
      <w:lvlText w:val="%1、"/>
      <w:lvlJc w:val="left"/>
    </w:lvl>
  </w:abstractNum>
  <w:abstractNum w:abstractNumId="1">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331E1C"/>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25544F"/>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3E376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0EB3C80"/>
    <w:rsid w:val="213334EB"/>
    <w:rsid w:val="21916F90"/>
    <w:rsid w:val="21A95488"/>
    <w:rsid w:val="22314524"/>
    <w:rsid w:val="228C71CA"/>
    <w:rsid w:val="22DE11E6"/>
    <w:rsid w:val="243744D5"/>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BF6272"/>
    <w:rsid w:val="30F046D4"/>
    <w:rsid w:val="31073B5C"/>
    <w:rsid w:val="31147CD6"/>
    <w:rsid w:val="31FF72AF"/>
    <w:rsid w:val="32781A64"/>
    <w:rsid w:val="32782FFB"/>
    <w:rsid w:val="32B42A38"/>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1C3830"/>
    <w:rsid w:val="39483D57"/>
    <w:rsid w:val="394D7D0F"/>
    <w:rsid w:val="399E4DCC"/>
    <w:rsid w:val="39F8521F"/>
    <w:rsid w:val="39FE179F"/>
    <w:rsid w:val="3A2A0E15"/>
    <w:rsid w:val="3B3F2D85"/>
    <w:rsid w:val="3B5330E7"/>
    <w:rsid w:val="3BD85452"/>
    <w:rsid w:val="3BF6596E"/>
    <w:rsid w:val="3C125C3B"/>
    <w:rsid w:val="3C8A1D00"/>
    <w:rsid w:val="3CC86BE5"/>
    <w:rsid w:val="3CED6006"/>
    <w:rsid w:val="3D132062"/>
    <w:rsid w:val="3D83213E"/>
    <w:rsid w:val="3DDB4F84"/>
    <w:rsid w:val="3F033133"/>
    <w:rsid w:val="3F07560F"/>
    <w:rsid w:val="3F1073A2"/>
    <w:rsid w:val="3F2D2E17"/>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560B8F"/>
    <w:rsid w:val="46FD5BE1"/>
    <w:rsid w:val="47722D16"/>
    <w:rsid w:val="478E1DDE"/>
    <w:rsid w:val="47E56E6A"/>
    <w:rsid w:val="481923FF"/>
    <w:rsid w:val="48694D5A"/>
    <w:rsid w:val="48C25CA3"/>
    <w:rsid w:val="48E21409"/>
    <w:rsid w:val="48F53192"/>
    <w:rsid w:val="490579E7"/>
    <w:rsid w:val="49060209"/>
    <w:rsid w:val="493A417A"/>
    <w:rsid w:val="494F2FD1"/>
    <w:rsid w:val="497146B0"/>
    <w:rsid w:val="49B30B3A"/>
    <w:rsid w:val="4A490D8F"/>
    <w:rsid w:val="4A5356BE"/>
    <w:rsid w:val="4AAC67E8"/>
    <w:rsid w:val="4AB26D7B"/>
    <w:rsid w:val="4AB9636A"/>
    <w:rsid w:val="4AF33166"/>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3D7D67"/>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9C2DA3"/>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043D6E"/>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860438"/>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6EA56DF"/>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9C90094"/>
    <w:rsid w:val="6A3A745F"/>
    <w:rsid w:val="6A5326E7"/>
    <w:rsid w:val="6A7800D0"/>
    <w:rsid w:val="6A9476A7"/>
    <w:rsid w:val="6ABF53AC"/>
    <w:rsid w:val="6B740773"/>
    <w:rsid w:val="6BA96793"/>
    <w:rsid w:val="6BCA02DD"/>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7A94A29"/>
    <w:rsid w:val="7801310F"/>
    <w:rsid w:val="798F0440"/>
    <w:rsid w:val="79A55E32"/>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 w:type="paragraph" w:customStyle="1" w:styleId="47">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6988</Words>
  <Characters>7217</Characters>
  <Lines>48</Lines>
  <Paragraphs>13</Paragraphs>
  <TotalTime>5</TotalTime>
  <ScaleCrop>false</ScaleCrop>
  <LinksUpToDate>false</LinksUpToDate>
  <CharactersWithSpaces>8022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乐乐</cp:lastModifiedBy>
  <cp:lastPrinted>2017-09-05T08:05:00Z</cp:lastPrinted>
  <dcterms:modified xsi:type="dcterms:W3CDTF">2026-05-19T00:31:55Z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EDFC3B12A4D4497B99B9C37C99994975_13</vt:lpwstr>
  </property>
  <property fmtid="{D5CDD505-2E9C-101B-9397-08002B2CF9AE}" pid="4" name="KSOTemplateDocerSaveRecord">
    <vt:lpwstr>eyJoZGlkIjoiYmQyMzEwZDg0NDc1ZTBhYzYyYWY0NjAzMTllZmQ3Y2EiLCJ1c2VySWQiOiI0MTA5ODU3OTQifQ==</vt:lpwstr>
  </property>
</Properties>
</file>